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48171">
      <w:pPr>
        <w:ind w:left="69"/>
        <w:jc w:val="center"/>
        <w:rPr>
          <w:rFonts w:hint="eastAsia" w:ascii="宋体" w:hAnsi="宋体"/>
          <w:b/>
          <w:color w:val="auto"/>
          <w:sz w:val="84"/>
          <w:highlight w:val="none"/>
        </w:rPr>
      </w:pPr>
    </w:p>
    <w:p w14:paraId="105677E3">
      <w:pPr>
        <w:ind w:left="69"/>
        <w:jc w:val="center"/>
        <w:rPr>
          <w:rFonts w:hint="eastAsia" w:ascii="宋体" w:hAnsi="宋体"/>
          <w:b/>
          <w:color w:val="auto"/>
          <w:sz w:val="84"/>
          <w:highlight w:val="none"/>
        </w:rPr>
      </w:pPr>
      <w:r>
        <w:rPr>
          <w:rFonts w:hint="eastAsia" w:ascii="宋体" w:hAnsi="宋体"/>
          <w:b/>
          <w:color w:val="auto"/>
          <w:sz w:val="84"/>
          <w:highlight w:val="none"/>
        </w:rPr>
        <w:t>招 标 文 件</w:t>
      </w:r>
    </w:p>
    <w:p w14:paraId="6041FCE8">
      <w:pPr>
        <w:ind w:left="69"/>
        <w:jc w:val="center"/>
        <w:rPr>
          <w:rFonts w:hint="eastAsia" w:ascii="宋体" w:hAnsi="宋体"/>
          <w:b/>
          <w:color w:val="auto"/>
          <w:sz w:val="52"/>
          <w:highlight w:val="none"/>
        </w:rPr>
      </w:pPr>
    </w:p>
    <w:p w14:paraId="5E903F06">
      <w:pPr>
        <w:ind w:left="69"/>
        <w:jc w:val="center"/>
        <w:rPr>
          <w:rFonts w:hint="eastAsia" w:ascii="宋体" w:hAnsi="宋体"/>
          <w:b/>
          <w:color w:val="auto"/>
          <w:sz w:val="52"/>
          <w:highlight w:val="none"/>
        </w:rPr>
      </w:pPr>
    </w:p>
    <w:p w14:paraId="5ECEB4DA">
      <w:pPr>
        <w:ind w:left="69"/>
        <w:jc w:val="center"/>
        <w:rPr>
          <w:rFonts w:hint="eastAsia" w:ascii="宋体" w:hAnsi="宋体"/>
          <w:b/>
          <w:color w:val="auto"/>
          <w:sz w:val="48"/>
          <w:highlight w:val="none"/>
        </w:rPr>
      </w:pPr>
      <w:r>
        <w:rPr>
          <w:rFonts w:hint="eastAsia" w:ascii="宋体" w:hAnsi="宋体"/>
          <w:b/>
          <w:color w:val="auto"/>
          <w:sz w:val="48"/>
          <w:highlight w:val="none"/>
        </w:rPr>
        <w:t>项目编号</w:t>
      </w:r>
    </w:p>
    <w:p w14:paraId="3AFCE9B6">
      <w:pPr>
        <w:pStyle w:val="6"/>
        <w:rPr>
          <w:rFonts w:hint="eastAsia" w:ascii="宋体" w:hAnsi="宋体"/>
          <w:b w:val="0"/>
          <w:color w:val="auto"/>
          <w:sz w:val="48"/>
          <w:szCs w:val="48"/>
          <w:highlight w:val="none"/>
        </w:rPr>
      </w:pPr>
      <w:r>
        <w:rPr>
          <w:rFonts w:hint="eastAsia" w:ascii="宋体" w:hAnsi="宋体"/>
          <w:b w:val="0"/>
          <w:color w:val="auto"/>
          <w:sz w:val="48"/>
          <w:szCs w:val="48"/>
          <w:highlight w:val="none"/>
        </w:rPr>
        <w:t>CY-FJWZ-2025003</w:t>
      </w:r>
    </w:p>
    <w:p w14:paraId="139EAEC8">
      <w:pPr>
        <w:pStyle w:val="6"/>
        <w:ind w:firstLine="3113" w:firstLineChars="646"/>
        <w:jc w:val="both"/>
        <w:rPr>
          <w:rFonts w:hint="eastAsia" w:ascii="宋体" w:hAnsi="宋体" w:eastAsia="宋体"/>
          <w:color w:val="auto"/>
          <w:sz w:val="48"/>
          <w:highlight w:val="none"/>
        </w:rPr>
      </w:pPr>
      <w:r>
        <w:rPr>
          <w:rFonts w:hint="eastAsia" w:ascii="宋体" w:hAnsi="宋体" w:eastAsia="宋体"/>
          <w:color w:val="auto"/>
          <w:sz w:val="48"/>
          <w:highlight w:val="none"/>
        </w:rPr>
        <w:t>项目名称</w:t>
      </w:r>
    </w:p>
    <w:p w14:paraId="49A3E2F5">
      <w:pPr>
        <w:ind w:left="0" w:leftChars="0"/>
        <w:jc w:val="center"/>
        <w:rPr>
          <w:rFonts w:hint="eastAsia" w:ascii="宋体" w:hAnsi="宋体"/>
          <w:b/>
          <w:color w:val="auto"/>
          <w:sz w:val="48"/>
          <w:szCs w:val="48"/>
          <w:highlight w:val="none"/>
        </w:rPr>
      </w:pPr>
      <w:bookmarkStart w:id="18" w:name="_GoBack"/>
      <w:r>
        <w:rPr>
          <w:rFonts w:hint="eastAsia" w:ascii="宋体" w:hAnsi="宋体"/>
          <w:b/>
          <w:color w:val="auto"/>
          <w:sz w:val="48"/>
          <w:szCs w:val="48"/>
          <w:highlight w:val="none"/>
        </w:rPr>
        <w:t>2025</w:t>
      </w:r>
      <w:r>
        <w:rPr>
          <w:rFonts w:hint="eastAsia" w:ascii="宋体" w:hAnsi="宋体"/>
          <w:b/>
          <w:color w:val="auto"/>
          <w:sz w:val="48"/>
          <w:szCs w:val="48"/>
          <w:highlight w:val="none"/>
          <w:lang w:val="en-US" w:eastAsia="zh-CN"/>
        </w:rPr>
        <w:t>-2026</w:t>
      </w:r>
      <w:r>
        <w:rPr>
          <w:rFonts w:hint="eastAsia" w:ascii="宋体" w:hAnsi="宋体"/>
          <w:b/>
          <w:color w:val="auto"/>
          <w:sz w:val="48"/>
          <w:szCs w:val="48"/>
          <w:highlight w:val="none"/>
        </w:rPr>
        <w:t>年度废铁屑、钢屑、铝屑</w:t>
      </w:r>
    </w:p>
    <w:p w14:paraId="2F46A29A">
      <w:pPr>
        <w:ind w:left="0" w:leftChars="0"/>
        <w:jc w:val="center"/>
        <w:rPr>
          <w:rFonts w:hint="eastAsia" w:ascii="宋体" w:hAnsi="宋体"/>
          <w:b/>
          <w:color w:val="auto"/>
          <w:sz w:val="84"/>
          <w:highlight w:val="none"/>
        </w:rPr>
      </w:pPr>
      <w:r>
        <w:rPr>
          <w:rFonts w:hint="eastAsia" w:ascii="宋体" w:hAnsi="宋体"/>
          <w:b/>
          <w:color w:val="auto"/>
          <w:sz w:val="48"/>
          <w:szCs w:val="48"/>
          <w:highlight w:val="none"/>
        </w:rPr>
        <w:t>销售招标文件</w:t>
      </w:r>
    </w:p>
    <w:bookmarkEnd w:id="18"/>
    <w:p w14:paraId="43D8C05E">
      <w:pPr>
        <w:ind w:left="69"/>
        <w:jc w:val="center"/>
        <w:rPr>
          <w:rFonts w:hint="eastAsia" w:ascii="宋体" w:hAnsi="宋体"/>
          <w:b/>
          <w:color w:val="auto"/>
          <w:sz w:val="36"/>
          <w:highlight w:val="none"/>
        </w:rPr>
      </w:pPr>
      <w:r>
        <w:rPr>
          <w:rFonts w:hint="eastAsia" w:ascii="宋体" w:hAnsi="宋体"/>
          <w:b/>
          <w:color w:val="auto"/>
          <w:sz w:val="36"/>
          <w:highlight w:val="none"/>
        </w:rPr>
        <w:t>四川长江液压件有限责任公司</w:t>
      </w:r>
    </w:p>
    <w:p w14:paraId="6D58A87E">
      <w:pPr>
        <w:ind w:left="69"/>
        <w:jc w:val="center"/>
        <w:rPr>
          <w:rFonts w:hint="eastAsia" w:ascii="宋体" w:hAnsi="宋体"/>
          <w:b/>
          <w:color w:val="auto"/>
          <w:sz w:val="36"/>
          <w:highlight w:val="none"/>
        </w:rPr>
      </w:pPr>
      <w:r>
        <w:rPr>
          <w:rFonts w:hint="eastAsia" w:ascii="宋体" w:hAnsi="宋体"/>
          <w:b/>
          <w:color w:val="auto"/>
          <w:sz w:val="36"/>
          <w:highlight w:val="none"/>
        </w:rPr>
        <w:t>2025年9月</w:t>
      </w:r>
    </w:p>
    <w:p w14:paraId="7D44DB83">
      <w:pPr>
        <w:ind w:left="69"/>
        <w:jc w:val="center"/>
        <w:rPr>
          <w:rFonts w:hint="eastAsia" w:ascii="宋体" w:hAnsi="宋体"/>
          <w:b/>
          <w:bCs/>
          <w:color w:val="auto"/>
          <w:sz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55A6269A">
      <w:pPr>
        <w:ind w:left="31" w:leftChars="15" w:firstLine="2645" w:firstLineChars="1098"/>
        <w:rPr>
          <w:color w:val="auto"/>
          <w:highlight w:val="none"/>
        </w:rPr>
      </w:pPr>
      <w:r>
        <w:rPr>
          <w:rFonts w:hint="eastAsia" w:ascii="宋体" w:hAnsi="宋体"/>
          <w:b/>
          <w:bCs/>
          <w:color w:val="auto"/>
          <w:sz w:val="24"/>
          <w:highlight w:val="none"/>
        </w:rPr>
        <w:t>第一部分　投标邀请</w:t>
      </w:r>
    </w:p>
    <w:p w14:paraId="6223BF14">
      <w:pPr>
        <w:spacing w:before="0" w:beforeAutospacing="0" w:after="0" w:afterAutospacing="0" w:line="360" w:lineRule="auto"/>
        <w:ind w:left="0" w:leftChars="0"/>
        <w:rPr>
          <w:rFonts w:hint="eastAsia" w:ascii="宋体" w:hAnsi="宋体"/>
          <w:b/>
          <w:bCs/>
          <w:color w:val="auto"/>
          <w:sz w:val="24"/>
          <w:highlight w:val="none"/>
        </w:rPr>
      </w:pPr>
    </w:p>
    <w:p w14:paraId="10665A01">
      <w:pPr>
        <w:spacing w:before="0" w:beforeAutospacing="0" w:after="0" w:afterAutospacing="0" w:line="360" w:lineRule="auto"/>
        <w:ind w:left="31" w:leftChars="15"/>
        <w:rPr>
          <w:rFonts w:hint="eastAsia" w:ascii="宋体" w:hAnsi="宋体"/>
          <w:color w:val="auto"/>
          <w:sz w:val="24"/>
          <w:highlight w:val="none"/>
        </w:rPr>
      </w:pPr>
      <w:r>
        <w:rPr>
          <w:rFonts w:hint="eastAsia" w:ascii="宋体" w:hAnsi="宋体"/>
          <w:b/>
          <w:bCs/>
          <w:color w:val="auto"/>
          <w:sz w:val="24"/>
          <w:highlight w:val="none"/>
          <w:u w:val="single"/>
        </w:rPr>
        <w:t>四川长江液压件有限责任公司</w:t>
      </w:r>
      <w:r>
        <w:rPr>
          <w:rFonts w:hint="eastAsia" w:ascii="宋体" w:hAnsi="宋体"/>
          <w:bCs/>
          <w:color w:val="auto"/>
          <w:sz w:val="24"/>
          <w:highlight w:val="none"/>
        </w:rPr>
        <w:t>拟</w:t>
      </w:r>
      <w:r>
        <w:rPr>
          <w:rFonts w:hint="eastAsia" w:ascii="宋体" w:hAnsi="宋体"/>
          <w:color w:val="auto"/>
          <w:sz w:val="24"/>
          <w:highlight w:val="none"/>
        </w:rPr>
        <w:t>对</w:t>
      </w:r>
      <w:r>
        <w:rPr>
          <w:rFonts w:hint="eastAsia" w:ascii="宋体" w:hAnsi="宋体"/>
          <w:b/>
          <w:color w:val="auto"/>
          <w:sz w:val="24"/>
          <w:highlight w:val="none"/>
          <w:u w:val="single"/>
        </w:rPr>
        <w:t>2025</w:t>
      </w:r>
      <w:r>
        <w:rPr>
          <w:rFonts w:hint="eastAsia" w:ascii="宋体" w:hAnsi="宋体"/>
          <w:b/>
          <w:color w:val="auto"/>
          <w:sz w:val="24"/>
          <w:highlight w:val="none"/>
          <w:u w:val="single"/>
          <w:lang w:val="en-US" w:eastAsia="zh-CN"/>
        </w:rPr>
        <w:t>-2026年度</w:t>
      </w:r>
      <w:r>
        <w:rPr>
          <w:rFonts w:hint="eastAsia" w:ascii="宋体" w:hAnsi="宋体"/>
          <w:b/>
          <w:color w:val="auto"/>
          <w:sz w:val="24"/>
          <w:highlight w:val="none"/>
          <w:u w:val="single"/>
        </w:rPr>
        <w:t>废钢屑、铁屑、铝屑销售</w:t>
      </w:r>
      <w:r>
        <w:rPr>
          <w:rFonts w:hint="eastAsia" w:ascii="宋体" w:hAnsi="宋体"/>
          <w:color w:val="auto"/>
          <w:sz w:val="24"/>
          <w:highlight w:val="none"/>
        </w:rPr>
        <w:t>项目的下述服务进行</w:t>
      </w:r>
      <w:r>
        <w:rPr>
          <w:rFonts w:hint="eastAsia" w:ascii="宋体" w:hAnsi="宋体"/>
          <w:b/>
          <w:bCs/>
          <w:color w:val="auto"/>
          <w:sz w:val="24"/>
          <w:highlight w:val="none"/>
          <w:u w:val="single"/>
        </w:rPr>
        <w:t>公开</w:t>
      </w:r>
      <w:r>
        <w:rPr>
          <w:rFonts w:hint="eastAsia" w:ascii="宋体" w:hAnsi="宋体"/>
          <w:color w:val="auto"/>
          <w:sz w:val="24"/>
          <w:highlight w:val="none"/>
        </w:rPr>
        <w:t>招标。现邀请合格的投标人参与投标。</w:t>
      </w:r>
    </w:p>
    <w:p w14:paraId="419795E1">
      <w:pPr>
        <w:spacing w:before="0" w:beforeAutospacing="0" w:after="0" w:afterAutospacing="0" w:line="360" w:lineRule="auto"/>
        <w:ind w:left="841" w:leftChars="229" w:hanging="360" w:hangingChars="1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1、招标编号：</w:t>
      </w:r>
      <w:r>
        <w:rPr>
          <w:rFonts w:asciiTheme="minorEastAsia" w:hAnsiTheme="minorEastAsia" w:eastAsiaTheme="minorEastAsia"/>
          <w:color w:val="auto"/>
          <w:sz w:val="24"/>
          <w:highlight w:val="none"/>
        </w:rPr>
        <w:t>CY-FJWZ-20</w:t>
      </w: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3。</w:t>
      </w:r>
    </w:p>
    <w:p w14:paraId="6F5DB772">
      <w:pPr>
        <w:spacing w:before="0" w:beforeAutospacing="0" w:after="0" w:afterAutospacing="0" w:line="360" w:lineRule="auto"/>
        <w:ind w:left="841" w:leftChars="229" w:hanging="360" w:hangingChars="1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2、招标项目名称、数量及主要技术规格：见后附：招标项目一览表。</w:t>
      </w:r>
    </w:p>
    <w:p w14:paraId="79538107">
      <w:pPr>
        <w:spacing w:before="0" w:beforeAutospacing="0" w:after="0" w:afterAutospacing="0" w:line="360" w:lineRule="auto"/>
        <w:ind w:left="841" w:leftChars="229" w:hanging="360" w:hangingChars="1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招标文件领取时间：2025年9月15日—2025年9月16日，每日上午8：30-12:00；下午13：00-17:00。在泸州市江阳区泰安镇酒谷大道四段12号四川长江液压件有限责任公司行政中心办公室领取招标文件。联系人：陈先生，联系电话：18190033565。</w:t>
      </w:r>
    </w:p>
    <w:p w14:paraId="1389EA0C">
      <w:pPr>
        <w:spacing w:before="0" w:beforeAutospacing="0" w:after="0" w:afterAutospacing="0" w:line="360" w:lineRule="auto"/>
        <w:ind w:left="841" w:leftChars="229" w:hanging="360" w:hangingChars="1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4、投标截止时间、地点：投标文件应于2025年9月</w:t>
      </w: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日下午17：00前加盖公章密封提交到泸州市江阳区泰安镇酒谷大道四段12号四川长江液压件有限责任公司行政中心办公室，收标负责人：冯先生，联系电话：18386000937，逾期收到的或不符合规定的投标文件将被拒绝。</w:t>
      </w:r>
    </w:p>
    <w:p w14:paraId="2CE4959E">
      <w:pPr>
        <w:spacing w:before="0" w:beforeAutospacing="0" w:after="0" w:afterAutospacing="0" w:line="360" w:lineRule="auto"/>
        <w:ind w:left="841" w:leftChars="229" w:hanging="360" w:hangingChars="1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5、开标时间、地点:递交标书截止日之后2个工作日内。于</w:t>
      </w:r>
      <w:r>
        <w:rPr>
          <w:rFonts w:hint="eastAsia" w:ascii="宋体" w:hAnsi="宋体"/>
          <w:color w:val="auto"/>
          <w:sz w:val="24"/>
          <w:highlight w:val="none"/>
        </w:rPr>
        <w:t>四川长江液压件有限责任公司</w:t>
      </w:r>
      <w:r>
        <w:rPr>
          <w:rFonts w:hint="eastAsia" w:asciiTheme="minorEastAsia" w:hAnsiTheme="minorEastAsia" w:eastAsiaTheme="minorEastAsia"/>
          <w:color w:val="auto"/>
          <w:sz w:val="24"/>
          <w:highlight w:val="none"/>
        </w:rPr>
        <w:t>办公楼一楼会议室开标。</w:t>
      </w:r>
    </w:p>
    <w:p w14:paraId="584C9E45">
      <w:pPr>
        <w:spacing w:before="0" w:beforeAutospacing="0" w:after="0" w:afterAutospacing="0" w:line="360" w:lineRule="auto"/>
        <w:ind w:left="841" w:leftChars="229" w:hanging="360" w:hangingChars="1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投标人若通过邮寄方式递交投标文件，请在邮寄密封袋外注明函件内容(即：项目编号、服务名称、招标机构接受人名称、地址、邮政编码，同时写明投标人的名称、地址、联系人、联系电话，以便将迟交的投标文件原封退还)。</w:t>
      </w:r>
    </w:p>
    <w:p w14:paraId="0E60AF09">
      <w:pPr>
        <w:spacing w:before="0" w:beforeAutospacing="0" w:after="0" w:afterAutospacing="0" w:line="360" w:lineRule="auto"/>
        <w:ind w:left="841" w:leftChars="229" w:hanging="360" w:hangingChars="1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招标文件如有变更，</w:t>
      </w:r>
      <w:r>
        <w:rPr>
          <w:rFonts w:hint="eastAsia" w:ascii="宋体" w:hAnsi="宋体"/>
          <w:color w:val="auto"/>
          <w:sz w:val="24"/>
          <w:highlight w:val="none"/>
        </w:rPr>
        <w:t>四川长江液压件有限责任公司</w:t>
      </w:r>
      <w:r>
        <w:rPr>
          <w:rFonts w:asciiTheme="minorEastAsia" w:hAnsiTheme="minorEastAsia" w:eastAsiaTheme="minorEastAsia"/>
          <w:color w:val="auto"/>
          <w:sz w:val="24"/>
          <w:highlight w:val="none"/>
        </w:rPr>
        <w:t>将通过</w:t>
      </w:r>
      <w:r>
        <w:rPr>
          <w:rFonts w:hint="eastAsia" w:asciiTheme="minorEastAsia" w:hAnsiTheme="minorEastAsia" w:eastAsiaTheme="minorEastAsia"/>
          <w:color w:val="auto"/>
          <w:sz w:val="24"/>
          <w:highlight w:val="none"/>
        </w:rPr>
        <w:t>电话、传真的方式与各投标人</w:t>
      </w:r>
      <w:r>
        <w:rPr>
          <w:rFonts w:asciiTheme="minorEastAsia" w:hAnsiTheme="minorEastAsia" w:eastAsiaTheme="minorEastAsia"/>
          <w:color w:val="auto"/>
          <w:sz w:val="24"/>
          <w:highlight w:val="none"/>
        </w:rPr>
        <w:t>发布信息通知，请各投标人</w:t>
      </w:r>
      <w:r>
        <w:rPr>
          <w:rFonts w:hint="eastAsia" w:asciiTheme="minorEastAsia" w:hAnsiTheme="minorEastAsia" w:eastAsiaTheme="minorEastAsia"/>
          <w:color w:val="auto"/>
          <w:sz w:val="24"/>
          <w:highlight w:val="none"/>
        </w:rPr>
        <w:t>保持通讯畅通和</w:t>
      </w:r>
      <w:r>
        <w:rPr>
          <w:rFonts w:asciiTheme="minorEastAsia" w:hAnsiTheme="minorEastAsia" w:eastAsiaTheme="minorEastAsia"/>
          <w:color w:val="auto"/>
          <w:sz w:val="24"/>
          <w:highlight w:val="none"/>
        </w:rPr>
        <w:t>留意</w:t>
      </w:r>
      <w:r>
        <w:rPr>
          <w:rFonts w:hint="eastAsia" w:asciiTheme="minorEastAsia" w:hAnsiTheme="minorEastAsia" w:eastAsiaTheme="minorEastAsia"/>
          <w:color w:val="auto"/>
          <w:sz w:val="24"/>
          <w:highlight w:val="none"/>
        </w:rPr>
        <w:t>传真</w:t>
      </w:r>
      <w:r>
        <w:rPr>
          <w:rFonts w:asciiTheme="minorEastAsia" w:hAnsiTheme="minorEastAsia" w:eastAsiaTheme="minorEastAsia"/>
          <w:color w:val="auto"/>
          <w:sz w:val="24"/>
          <w:highlight w:val="none"/>
        </w:rPr>
        <w:t>。</w:t>
      </w:r>
    </w:p>
    <w:p w14:paraId="4FB2C6EE">
      <w:pPr>
        <w:numPr>
          <w:ilvl w:val="0"/>
          <w:numId w:val="0"/>
        </w:numPr>
        <w:spacing w:line="360" w:lineRule="auto"/>
        <w:ind w:leftChars="258"/>
        <w:rPr>
          <w:rFonts w:hint="eastAsia" w:ascii="宋体" w:hAnsi="宋体" w:eastAsia="宋体" w:cs="宋体"/>
          <w:kern w:val="0"/>
          <w:sz w:val="24"/>
          <w:szCs w:val="24"/>
        </w:rPr>
      </w:pPr>
      <w:r>
        <w:rPr>
          <w:rFonts w:hint="eastAsia" w:asciiTheme="minorEastAsia" w:hAnsiTheme="minorEastAsia" w:eastAsiaTheme="minorEastAsia"/>
          <w:color w:val="auto"/>
          <w:sz w:val="24"/>
          <w:highlight w:val="none"/>
          <w:lang w:val="en-US" w:eastAsia="zh-CN"/>
        </w:rPr>
        <w:t>8、</w:t>
      </w:r>
      <w:bookmarkStart w:id="0" w:name="_Toc30058"/>
      <w:bookmarkStart w:id="1" w:name="_Toc27041"/>
      <w:r>
        <w:rPr>
          <w:rFonts w:hint="eastAsia" w:ascii="宋体" w:hAnsi="宋体" w:eastAsia="宋体" w:cs="宋体"/>
          <w:b/>
          <w:bCs/>
          <w:sz w:val="24"/>
          <w:szCs w:val="24"/>
        </w:rPr>
        <w:t>投标保证金</w:t>
      </w:r>
      <w:bookmarkEnd w:id="0"/>
      <w:bookmarkEnd w:id="1"/>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1</w:t>
      </w:r>
      <w:r>
        <w:rPr>
          <w:rFonts w:hint="eastAsia" w:eastAsia="宋体" w:cs="宋体"/>
          <w:b/>
          <w:bCs/>
          <w:sz w:val="24"/>
          <w:szCs w:val="24"/>
          <w:lang w:val="en-US" w:eastAsia="zh-CN"/>
        </w:rPr>
        <w:t>0万人民币。投标保证金</w:t>
      </w:r>
      <w:r>
        <w:rPr>
          <w:rFonts w:hint="eastAsia" w:eastAsia="宋体" w:cs="宋体"/>
          <w:b/>
          <w:bCs/>
          <w:sz w:val="24"/>
          <w:szCs w:val="24"/>
        </w:rPr>
        <w:t>应以汇款、转账两种形式提交，且应在投标截止时间前到账</w:t>
      </w:r>
      <w:r>
        <w:rPr>
          <w:rFonts w:hint="eastAsia" w:eastAsia="宋体" w:cs="宋体"/>
          <w:b/>
          <w:bCs/>
          <w:sz w:val="24"/>
          <w:szCs w:val="24"/>
          <w:lang w:val="en-US" w:eastAsia="zh-CN"/>
        </w:rPr>
        <w:t>，过期缴纳视为无效投标。</w:t>
      </w:r>
      <w:r>
        <w:rPr>
          <w:rFonts w:hint="eastAsia" w:ascii="宋体" w:hAnsi="宋体" w:eastAsia="宋体" w:cs="宋体"/>
          <w:kern w:val="0"/>
          <w:sz w:val="24"/>
          <w:szCs w:val="24"/>
        </w:rPr>
        <w:t xml:space="preserve"> </w:t>
      </w:r>
    </w:p>
    <w:p w14:paraId="2E27AA50">
      <w:pPr>
        <w:spacing w:before="0" w:beforeAutospacing="0" w:after="0" w:afterAutospacing="0" w:line="360" w:lineRule="auto"/>
        <w:ind w:left="842" w:leftChars="229" w:hanging="361" w:hangingChars="150"/>
        <w:rPr>
          <w:rFonts w:hint="eastAsia" w:ascii="宋体" w:hAnsi="宋体"/>
          <w:color w:val="auto"/>
          <w:sz w:val="24"/>
          <w:highlight w:val="none"/>
        </w:rPr>
      </w:pPr>
      <w:r>
        <w:rPr>
          <w:rFonts w:hint="eastAsia" w:ascii="宋体" w:hAnsi="宋体"/>
          <w:b/>
          <w:color w:val="auto"/>
          <w:sz w:val="24"/>
          <w:highlight w:val="none"/>
          <w:lang w:val="en-US" w:eastAsia="zh-CN"/>
        </w:rPr>
        <w:t>9、</w:t>
      </w:r>
      <w:r>
        <w:rPr>
          <w:rFonts w:ascii="宋体" w:hAnsi="宋体"/>
          <w:b/>
          <w:color w:val="auto"/>
          <w:sz w:val="24"/>
          <w:highlight w:val="none"/>
        </w:rPr>
        <w:t>友情提醒：欢迎投标人对项目采购过程中公告发布、</w:t>
      </w:r>
      <w:r>
        <w:rPr>
          <w:rFonts w:hint="eastAsia" w:ascii="宋体" w:hAnsi="宋体"/>
          <w:b/>
          <w:color w:val="auto"/>
          <w:sz w:val="24"/>
          <w:highlight w:val="none"/>
        </w:rPr>
        <w:t>招标</w:t>
      </w:r>
      <w:r>
        <w:rPr>
          <w:rFonts w:ascii="宋体" w:hAnsi="宋体"/>
          <w:b/>
          <w:color w:val="auto"/>
          <w:sz w:val="24"/>
          <w:highlight w:val="none"/>
        </w:rPr>
        <w:t>文件领取、</w:t>
      </w:r>
      <w:r>
        <w:rPr>
          <w:rFonts w:hint="eastAsia" w:ascii="宋体" w:hAnsi="宋体"/>
          <w:b/>
          <w:color w:val="auto"/>
          <w:sz w:val="24"/>
          <w:highlight w:val="none"/>
        </w:rPr>
        <w:t>投标</w:t>
      </w:r>
      <w:r>
        <w:rPr>
          <w:rFonts w:ascii="宋体" w:hAnsi="宋体"/>
          <w:b/>
          <w:color w:val="auto"/>
          <w:sz w:val="24"/>
          <w:highlight w:val="none"/>
        </w:rPr>
        <w:t>保证金缴交和退还、服务费收取、中标通知书发放等环节的服务进行监督。有关上述事项的服务质量及态度的投诉请联系</w:t>
      </w:r>
      <w:r>
        <w:rPr>
          <w:rFonts w:hint="eastAsia" w:ascii="宋体" w:hAnsi="宋体"/>
          <w:b/>
          <w:color w:val="auto"/>
          <w:sz w:val="24"/>
          <w:highlight w:val="none"/>
        </w:rPr>
        <w:t>纪检监察魏先生</w:t>
      </w:r>
      <w:r>
        <w:rPr>
          <w:rFonts w:ascii="宋体" w:hAnsi="宋体"/>
          <w:b/>
          <w:color w:val="auto"/>
          <w:sz w:val="24"/>
          <w:highlight w:val="none"/>
        </w:rPr>
        <w:t>（电话：</w:t>
      </w:r>
      <w:r>
        <w:rPr>
          <w:rFonts w:hint="eastAsia" w:ascii="宋体" w:hAnsi="宋体"/>
          <w:b/>
          <w:color w:val="auto"/>
          <w:sz w:val="24"/>
          <w:highlight w:val="none"/>
        </w:rPr>
        <w:t>13950970330</w:t>
      </w:r>
      <w:r>
        <w:rPr>
          <w:rFonts w:ascii="宋体" w:hAnsi="宋体"/>
          <w:b/>
          <w:color w:val="auto"/>
          <w:sz w:val="24"/>
          <w:highlight w:val="none"/>
        </w:rPr>
        <w:t>），我们将竭诚为您提供最优质的服务。</w:t>
      </w:r>
    </w:p>
    <w:p w14:paraId="42BD81D3">
      <w:pPr>
        <w:spacing w:before="0" w:beforeAutospacing="0" w:after="0" w:afterAutospacing="0" w:line="360" w:lineRule="auto"/>
        <w:ind w:left="1138" w:leftChars="315" w:hanging="477" w:hangingChars="199"/>
        <w:rPr>
          <w:rFonts w:hint="eastAsia" w:ascii="宋体" w:hAnsi="宋体"/>
          <w:color w:val="auto"/>
          <w:sz w:val="24"/>
          <w:highlight w:val="none"/>
        </w:rPr>
      </w:pPr>
    </w:p>
    <w:p w14:paraId="7B2A4F6B">
      <w:pPr>
        <w:spacing w:before="0" w:beforeAutospacing="0" w:after="0" w:afterAutospacing="0" w:line="360" w:lineRule="auto"/>
        <w:ind w:left="1138" w:leftChars="315" w:hanging="477" w:hangingChars="199"/>
        <w:rPr>
          <w:rFonts w:hint="eastAsia" w:ascii="宋体" w:hAnsi="宋体"/>
          <w:color w:val="auto"/>
          <w:sz w:val="24"/>
          <w:highlight w:val="none"/>
        </w:rPr>
      </w:pPr>
    </w:p>
    <w:p w14:paraId="2135BEEC">
      <w:pPr>
        <w:spacing w:before="0" w:beforeAutospacing="0" w:after="0" w:afterAutospacing="0" w:line="360" w:lineRule="auto"/>
        <w:ind w:left="1138" w:leftChars="315" w:hanging="477" w:hangingChars="199"/>
        <w:rPr>
          <w:rFonts w:hint="eastAsia" w:ascii="宋体" w:hAnsi="宋体"/>
          <w:color w:val="auto"/>
          <w:sz w:val="24"/>
          <w:highlight w:val="none"/>
        </w:rPr>
      </w:pPr>
    </w:p>
    <w:p w14:paraId="25EA31BD">
      <w:pPr>
        <w:spacing w:before="0" w:beforeAutospacing="0" w:after="0" w:afterAutospacing="0" w:line="360" w:lineRule="auto"/>
        <w:ind w:left="1138" w:leftChars="315" w:hanging="477" w:hangingChars="199"/>
        <w:rPr>
          <w:rFonts w:hint="eastAsia" w:ascii="宋体" w:hAnsi="宋体"/>
          <w:color w:val="auto"/>
          <w:sz w:val="24"/>
          <w:highlight w:val="none"/>
        </w:rPr>
      </w:pPr>
      <w:r>
        <w:rPr>
          <w:rFonts w:hint="eastAsia" w:ascii="宋体" w:hAnsi="宋体"/>
          <w:color w:val="auto"/>
          <w:sz w:val="24"/>
          <w:highlight w:val="none"/>
        </w:rPr>
        <w:t>招标单位：四川长江液压件有限责任公司</w:t>
      </w:r>
    </w:p>
    <w:p w14:paraId="2482D682">
      <w:pPr>
        <w:spacing w:before="0" w:beforeAutospacing="0" w:after="0" w:afterAutospacing="0" w:line="360" w:lineRule="auto"/>
        <w:ind w:left="1858" w:leftChars="315" w:hanging="1197" w:hangingChars="499"/>
        <w:rPr>
          <w:rFonts w:hint="eastAsia" w:ascii="宋体" w:hAnsi="宋体"/>
          <w:color w:val="auto"/>
          <w:sz w:val="24"/>
          <w:highlight w:val="none"/>
        </w:rPr>
      </w:pPr>
      <w:r>
        <w:rPr>
          <w:rFonts w:hint="eastAsia" w:ascii="宋体" w:hAnsi="宋体"/>
          <w:color w:val="auto"/>
          <w:sz w:val="24"/>
          <w:highlight w:val="none"/>
        </w:rPr>
        <w:t>地址：</w:t>
      </w:r>
      <w:r>
        <w:rPr>
          <w:rFonts w:hint="eastAsia" w:asciiTheme="minorEastAsia" w:hAnsiTheme="minorEastAsia" w:eastAsiaTheme="minorEastAsia"/>
          <w:color w:val="auto"/>
          <w:sz w:val="24"/>
          <w:highlight w:val="none"/>
        </w:rPr>
        <w:t>泸州市江阳区泰安镇酒谷大道四段12号</w:t>
      </w:r>
    </w:p>
    <w:p w14:paraId="4A6C1191">
      <w:pPr>
        <w:spacing w:before="0" w:beforeAutospacing="0" w:after="0" w:afterAutospacing="0" w:line="360" w:lineRule="auto"/>
        <w:ind w:left="1138" w:leftChars="315" w:hanging="477" w:hangingChars="199"/>
        <w:rPr>
          <w:rFonts w:hint="eastAsia" w:ascii="宋体" w:hAnsi="宋体"/>
          <w:color w:val="auto"/>
          <w:sz w:val="24"/>
          <w:highlight w:val="none"/>
        </w:rPr>
      </w:pPr>
      <w:r>
        <w:rPr>
          <w:rFonts w:hint="eastAsia" w:ascii="宋体" w:hAnsi="宋体"/>
          <w:color w:val="auto"/>
          <w:sz w:val="24"/>
          <w:highlight w:val="none"/>
        </w:rPr>
        <w:t>邮编：646006</w:t>
      </w:r>
    </w:p>
    <w:p w14:paraId="2EEAC76F">
      <w:pPr>
        <w:spacing w:before="0" w:beforeAutospacing="0" w:after="0" w:afterAutospacing="0" w:line="360" w:lineRule="auto"/>
        <w:ind w:left="1138" w:leftChars="315" w:hanging="477" w:hangingChars="199"/>
        <w:rPr>
          <w:rFonts w:hint="eastAsia" w:ascii="宋体" w:hAnsi="宋体"/>
          <w:color w:val="auto"/>
          <w:sz w:val="24"/>
          <w:highlight w:val="none"/>
        </w:rPr>
      </w:pPr>
      <w:r>
        <w:rPr>
          <w:rFonts w:hint="eastAsia" w:ascii="宋体" w:hAnsi="宋体"/>
          <w:color w:val="auto"/>
          <w:sz w:val="24"/>
          <w:highlight w:val="none"/>
        </w:rPr>
        <w:t>电话：18190033565</w:t>
      </w:r>
    </w:p>
    <w:p w14:paraId="7FF1CC68">
      <w:pPr>
        <w:spacing w:before="0" w:beforeAutospacing="0" w:after="0" w:afterAutospacing="0" w:line="360" w:lineRule="auto"/>
        <w:ind w:left="1138" w:leftChars="315" w:hanging="477" w:hangingChars="199"/>
        <w:rPr>
          <w:rFonts w:hint="eastAsia" w:ascii="宋体" w:hAnsi="宋体"/>
          <w:color w:val="auto"/>
          <w:sz w:val="24"/>
          <w:highlight w:val="none"/>
        </w:rPr>
      </w:pPr>
      <w:r>
        <w:rPr>
          <w:rFonts w:hint="eastAsia" w:ascii="宋体" w:hAnsi="宋体"/>
          <w:color w:val="auto"/>
          <w:sz w:val="24"/>
          <w:highlight w:val="none"/>
        </w:rPr>
        <w:t>联系人：陈先生</w:t>
      </w:r>
    </w:p>
    <w:p w14:paraId="7A3B9EE0">
      <w:pPr>
        <w:spacing w:before="0" w:beforeAutospacing="0" w:after="0" w:afterAutospacing="0" w:line="360" w:lineRule="auto"/>
        <w:ind w:left="69" w:firstLine="480" w:firstLineChars="200"/>
        <w:rPr>
          <w:rFonts w:hint="eastAsia" w:ascii="宋体" w:hAnsi="宋体"/>
          <w:color w:val="auto"/>
          <w:sz w:val="24"/>
          <w:highlight w:val="none"/>
        </w:rPr>
      </w:pPr>
      <w:r>
        <w:rPr>
          <w:rFonts w:hint="eastAsia" w:ascii="宋体" w:hAnsi="宋体"/>
          <w:color w:val="auto"/>
          <w:sz w:val="24"/>
          <w:highlight w:val="none"/>
        </w:rPr>
        <w:t>收款单位账户：四川长江液压件有限责任公司</w:t>
      </w:r>
    </w:p>
    <w:p w14:paraId="5C4AE332">
      <w:pPr>
        <w:spacing w:before="0" w:beforeAutospacing="0" w:after="0" w:afterAutospacing="0" w:line="360" w:lineRule="auto"/>
        <w:ind w:left="1138" w:leftChars="315" w:hanging="477" w:hangingChars="199"/>
        <w:rPr>
          <w:rFonts w:hint="eastAsia" w:ascii="宋体" w:hAnsi="宋体"/>
          <w:color w:val="auto"/>
          <w:sz w:val="24"/>
          <w:highlight w:val="none"/>
        </w:rPr>
      </w:pPr>
    </w:p>
    <w:p w14:paraId="3FFADDB0">
      <w:pPr>
        <w:spacing w:before="0" w:beforeAutospacing="0" w:after="0" w:afterAutospacing="0" w:line="360" w:lineRule="auto"/>
        <w:ind w:left="1138" w:leftChars="315" w:hanging="477" w:hangingChars="199"/>
        <w:rPr>
          <w:rFonts w:hint="eastAsia"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w:t>
      </w:r>
      <w:r>
        <w:rPr>
          <w:rFonts w:hint="eastAsia" w:ascii="宋体" w:hAnsi="宋体"/>
          <w:color w:val="auto"/>
          <w:sz w:val="24"/>
          <w:highlight w:val="none"/>
        </w:rPr>
        <w:t>工行泸州高新支行</w:t>
      </w:r>
    </w:p>
    <w:p w14:paraId="161791B1">
      <w:pPr>
        <w:spacing w:before="0" w:beforeAutospacing="0" w:after="0" w:afterAutospacing="0" w:line="360" w:lineRule="auto"/>
        <w:ind w:left="1138" w:leftChars="315" w:hanging="477" w:hangingChars="199"/>
        <w:rPr>
          <w:rFonts w:hint="eastAsia" w:ascii="宋体" w:hAnsi="宋体"/>
          <w:color w:val="auto"/>
          <w:sz w:val="24"/>
          <w:highlight w:val="none"/>
        </w:rPr>
      </w:pPr>
      <w:r>
        <w:rPr>
          <w:rFonts w:hint="eastAsia" w:ascii="宋体" w:hAnsi="宋体"/>
          <w:color w:val="auto"/>
          <w:sz w:val="24"/>
          <w:highlight w:val="none"/>
        </w:rPr>
        <w:t>帐    号</w:t>
      </w:r>
      <w:r>
        <w:rPr>
          <w:rFonts w:ascii="宋体" w:hAnsi="宋体"/>
          <w:color w:val="auto"/>
          <w:sz w:val="24"/>
          <w:highlight w:val="none"/>
        </w:rPr>
        <w:t xml:space="preserve">: </w:t>
      </w:r>
      <w:r>
        <w:rPr>
          <w:rFonts w:hint="eastAsia" w:ascii="宋体" w:hAnsi="宋体"/>
          <w:color w:val="auto"/>
          <w:sz w:val="24"/>
          <w:highlight w:val="none"/>
        </w:rPr>
        <w:t>2304343709122111819</w:t>
      </w:r>
    </w:p>
    <w:p w14:paraId="213CE43B">
      <w:pPr>
        <w:spacing w:before="0" w:beforeAutospacing="0" w:after="0" w:afterAutospacing="0" w:line="360" w:lineRule="auto"/>
        <w:ind w:left="1138" w:leftChars="315" w:hanging="477" w:hangingChars="199"/>
        <w:rPr>
          <w:rFonts w:hint="eastAsia" w:ascii="宋体" w:hAnsi="宋体"/>
          <w:color w:val="auto"/>
          <w:sz w:val="24"/>
          <w:highlight w:val="none"/>
        </w:rPr>
      </w:pPr>
      <w:r>
        <w:rPr>
          <w:rFonts w:ascii="宋体" w:cs="宋体"/>
          <w:color w:val="auto"/>
          <w:kern w:val="0"/>
          <w:sz w:val="24"/>
          <w:highlight w:val="none"/>
        </w:rPr>
        <w:t>投标保证金到账、</w:t>
      </w:r>
      <w:r>
        <w:rPr>
          <w:rFonts w:hint="eastAsia" w:ascii="宋体" w:hAnsi="宋体"/>
          <w:color w:val="auto"/>
          <w:sz w:val="24"/>
          <w:highlight w:val="none"/>
        </w:rPr>
        <w:t>退投标保证金咨询事宜：陈先生18190033565</w:t>
      </w:r>
    </w:p>
    <w:p w14:paraId="380C765D">
      <w:pPr>
        <w:spacing w:before="0" w:beforeAutospacing="0" w:after="0" w:afterAutospacing="0" w:line="360" w:lineRule="auto"/>
        <w:ind w:left="1138" w:leftChars="315" w:hanging="477" w:hangingChars="199"/>
        <w:rPr>
          <w:rFonts w:hint="eastAsia" w:ascii="宋体" w:hAnsi="宋体"/>
          <w:color w:val="auto"/>
          <w:sz w:val="24"/>
          <w:highlight w:val="none"/>
        </w:rPr>
      </w:pPr>
    </w:p>
    <w:p w14:paraId="512599D6">
      <w:pPr>
        <w:spacing w:before="0" w:beforeAutospacing="0" w:after="0" w:afterAutospacing="0" w:line="360" w:lineRule="auto"/>
        <w:ind w:left="1138" w:leftChars="542" w:firstLine="3600" w:firstLineChars="1500"/>
        <w:rPr>
          <w:rFonts w:hint="eastAsia" w:ascii="宋体" w:hAnsi="宋体"/>
          <w:color w:val="auto"/>
          <w:sz w:val="24"/>
          <w:highlight w:val="none"/>
        </w:rPr>
      </w:pPr>
      <w:r>
        <w:rPr>
          <w:rFonts w:hint="eastAsia" w:ascii="宋体" w:hAnsi="宋体"/>
          <w:color w:val="auto"/>
          <w:sz w:val="24"/>
          <w:highlight w:val="none"/>
        </w:rPr>
        <w:t>四川长江液压件有限责任公司</w:t>
      </w:r>
    </w:p>
    <w:p w14:paraId="2A8B8E98">
      <w:pPr>
        <w:spacing w:before="0" w:beforeAutospacing="0" w:after="0" w:afterAutospacing="0" w:line="360" w:lineRule="auto"/>
        <w:ind w:left="69" w:firstLine="5760" w:firstLineChars="2400"/>
        <w:rPr>
          <w:rFonts w:hint="eastAsia" w:ascii="宋体" w:hAnsi="宋体"/>
          <w:color w:val="auto"/>
          <w:sz w:val="24"/>
          <w:highlight w:val="none"/>
        </w:rPr>
      </w:pPr>
      <w:r>
        <w:rPr>
          <w:rFonts w:hint="eastAsia" w:ascii="宋体" w:hAnsi="宋体"/>
          <w:color w:val="auto"/>
          <w:sz w:val="24"/>
          <w:highlight w:val="none"/>
        </w:rPr>
        <w:t>2025年9月</w:t>
      </w:r>
      <w:r>
        <w:rPr>
          <w:rFonts w:hint="eastAsia" w:ascii="宋体" w:hAnsi="宋体"/>
          <w:color w:val="auto"/>
          <w:sz w:val="24"/>
          <w:highlight w:val="none"/>
          <w:lang w:val="en-US" w:eastAsia="zh-CN"/>
        </w:rPr>
        <w:t>8</w:t>
      </w:r>
      <w:r>
        <w:rPr>
          <w:rFonts w:hint="eastAsia" w:ascii="宋体" w:hAnsi="宋体"/>
          <w:color w:val="auto"/>
          <w:sz w:val="24"/>
          <w:highlight w:val="none"/>
        </w:rPr>
        <w:t xml:space="preserve">日 </w:t>
      </w:r>
    </w:p>
    <w:p w14:paraId="46EA2D9E">
      <w:pPr>
        <w:ind w:left="-88" w:leftChars="-42"/>
        <w:rPr>
          <w:rFonts w:hint="eastAsia" w:ascii="宋体" w:hAnsi="宋体"/>
          <w:b/>
          <w:bCs/>
          <w:color w:val="auto"/>
          <w:sz w:val="24"/>
          <w:highlight w:val="none"/>
        </w:rPr>
      </w:pPr>
    </w:p>
    <w:p w14:paraId="20E4DC6B">
      <w:pPr>
        <w:ind w:left="-88" w:leftChars="-42"/>
        <w:rPr>
          <w:rFonts w:hint="eastAsia" w:ascii="宋体" w:hAnsi="宋体"/>
          <w:b/>
          <w:bCs/>
          <w:color w:val="auto"/>
          <w:sz w:val="24"/>
          <w:highlight w:val="none"/>
        </w:rPr>
      </w:pPr>
    </w:p>
    <w:p w14:paraId="06E8BC6E">
      <w:pPr>
        <w:ind w:left="-88" w:leftChars="-42"/>
        <w:rPr>
          <w:rFonts w:hint="eastAsia" w:ascii="宋体" w:hAnsi="宋体"/>
          <w:b/>
          <w:bCs/>
          <w:color w:val="auto"/>
          <w:sz w:val="24"/>
          <w:highlight w:val="none"/>
        </w:rPr>
      </w:pPr>
    </w:p>
    <w:p w14:paraId="29918D59">
      <w:pPr>
        <w:ind w:left="-88" w:leftChars="-42"/>
        <w:rPr>
          <w:rFonts w:hint="eastAsia" w:ascii="宋体" w:hAnsi="宋体"/>
          <w:b/>
          <w:bCs/>
          <w:color w:val="auto"/>
          <w:sz w:val="24"/>
          <w:highlight w:val="none"/>
        </w:rPr>
      </w:pPr>
    </w:p>
    <w:p w14:paraId="4FE84A73">
      <w:pPr>
        <w:ind w:left="-88" w:leftChars="-42"/>
        <w:rPr>
          <w:rFonts w:hint="eastAsia" w:ascii="宋体" w:hAnsi="宋体"/>
          <w:b/>
          <w:bCs/>
          <w:color w:val="auto"/>
          <w:sz w:val="24"/>
          <w:highlight w:val="none"/>
        </w:rPr>
      </w:pPr>
    </w:p>
    <w:p w14:paraId="1D7D03AF">
      <w:pPr>
        <w:ind w:left="-88" w:leftChars="-42"/>
        <w:rPr>
          <w:rFonts w:hint="eastAsia" w:ascii="宋体" w:hAnsi="宋体"/>
          <w:b/>
          <w:bCs/>
          <w:color w:val="auto"/>
          <w:sz w:val="24"/>
          <w:highlight w:val="none"/>
        </w:rPr>
      </w:pPr>
    </w:p>
    <w:p w14:paraId="6003053F">
      <w:pPr>
        <w:ind w:left="-88" w:leftChars="-42"/>
        <w:rPr>
          <w:rFonts w:hint="eastAsia" w:ascii="宋体" w:hAnsi="宋体"/>
          <w:b/>
          <w:bCs/>
          <w:color w:val="auto"/>
          <w:sz w:val="24"/>
          <w:highlight w:val="none"/>
        </w:rPr>
      </w:pPr>
    </w:p>
    <w:p w14:paraId="6EED3653">
      <w:pPr>
        <w:ind w:left="-88" w:leftChars="-42"/>
        <w:rPr>
          <w:rFonts w:hint="eastAsia" w:ascii="宋体" w:hAnsi="宋体"/>
          <w:b/>
          <w:bCs/>
          <w:color w:val="auto"/>
          <w:sz w:val="24"/>
          <w:highlight w:val="none"/>
        </w:rPr>
      </w:pPr>
    </w:p>
    <w:p w14:paraId="1D49F255">
      <w:pPr>
        <w:ind w:left="-88" w:leftChars="-42"/>
        <w:rPr>
          <w:rFonts w:hint="eastAsia" w:ascii="宋体" w:hAnsi="宋体"/>
          <w:b/>
          <w:bCs/>
          <w:color w:val="auto"/>
          <w:sz w:val="24"/>
          <w:highlight w:val="none"/>
        </w:rPr>
      </w:pPr>
    </w:p>
    <w:p w14:paraId="38E27B2D">
      <w:pPr>
        <w:ind w:left="-88" w:leftChars="-42"/>
        <w:rPr>
          <w:rFonts w:hint="eastAsia" w:ascii="宋体" w:hAnsi="宋体"/>
          <w:b/>
          <w:bCs/>
          <w:color w:val="auto"/>
          <w:sz w:val="24"/>
          <w:highlight w:val="none"/>
        </w:rPr>
      </w:pPr>
    </w:p>
    <w:p w14:paraId="639C2E15">
      <w:pPr>
        <w:ind w:left="-88" w:leftChars="-42"/>
        <w:rPr>
          <w:rFonts w:hint="eastAsia" w:ascii="宋体" w:hAnsi="宋体"/>
          <w:b/>
          <w:bCs/>
          <w:color w:val="auto"/>
          <w:sz w:val="24"/>
          <w:highlight w:val="none"/>
        </w:rPr>
      </w:pPr>
    </w:p>
    <w:p w14:paraId="79A0D96E">
      <w:pPr>
        <w:ind w:left="-88" w:leftChars="-42"/>
        <w:rPr>
          <w:rFonts w:hint="eastAsia" w:ascii="宋体" w:hAnsi="宋体"/>
          <w:b/>
          <w:bCs/>
          <w:color w:val="auto"/>
          <w:sz w:val="24"/>
          <w:highlight w:val="none"/>
        </w:rPr>
      </w:pPr>
      <w:r>
        <w:rPr>
          <w:rFonts w:hint="eastAsia" w:ascii="宋体" w:hAnsi="宋体"/>
          <w:b/>
          <w:bCs/>
          <w:color w:val="auto"/>
          <w:sz w:val="24"/>
          <w:highlight w:val="none"/>
        </w:rPr>
        <w:t>附：</w:t>
      </w:r>
    </w:p>
    <w:p w14:paraId="2AC25031">
      <w:pPr>
        <w:tabs>
          <w:tab w:val="left" w:pos="180"/>
        </w:tabs>
        <w:ind w:left="69" w:firstLine="2530" w:firstLineChars="700"/>
        <w:rPr>
          <w:rFonts w:hint="eastAsia" w:ascii="宋体" w:hAnsi="宋体"/>
          <w:b/>
          <w:bCs/>
          <w:color w:val="auto"/>
          <w:sz w:val="36"/>
          <w:szCs w:val="36"/>
          <w:highlight w:val="none"/>
        </w:rPr>
      </w:pPr>
      <w:r>
        <w:rPr>
          <w:rFonts w:hint="eastAsia" w:ascii="宋体" w:hAnsi="宋体"/>
          <w:b/>
          <w:bCs/>
          <w:color w:val="auto"/>
          <w:sz w:val="36"/>
          <w:szCs w:val="36"/>
          <w:highlight w:val="none"/>
        </w:rPr>
        <w:t>招标项目一览表</w:t>
      </w:r>
    </w:p>
    <w:tbl>
      <w:tblPr>
        <w:tblStyle w:val="15"/>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76"/>
        <w:gridCol w:w="2184"/>
        <w:gridCol w:w="1985"/>
        <w:gridCol w:w="2126"/>
      </w:tblGrid>
      <w:tr w14:paraId="34E8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51" w:type="dxa"/>
            <w:tcBorders>
              <w:top w:val="single" w:color="auto" w:sz="4" w:space="0"/>
              <w:left w:val="single" w:color="auto" w:sz="4" w:space="0"/>
              <w:bottom w:val="single" w:color="auto" w:sz="4" w:space="0"/>
              <w:right w:val="single" w:color="auto" w:sz="4" w:space="0"/>
            </w:tcBorders>
            <w:vAlign w:val="center"/>
          </w:tcPr>
          <w:p w14:paraId="7B8B2BC2">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合同包</w:t>
            </w:r>
          </w:p>
        </w:tc>
        <w:tc>
          <w:tcPr>
            <w:tcW w:w="1076" w:type="dxa"/>
            <w:tcBorders>
              <w:top w:val="single" w:color="auto" w:sz="4" w:space="0"/>
              <w:left w:val="single" w:color="auto" w:sz="4" w:space="0"/>
              <w:bottom w:val="single" w:color="auto" w:sz="4" w:space="0"/>
              <w:right w:val="single" w:color="auto" w:sz="4" w:space="0"/>
            </w:tcBorders>
            <w:vAlign w:val="center"/>
          </w:tcPr>
          <w:p w14:paraId="251AA804">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品目号</w:t>
            </w:r>
          </w:p>
        </w:tc>
        <w:tc>
          <w:tcPr>
            <w:tcW w:w="2184" w:type="dxa"/>
            <w:tcBorders>
              <w:top w:val="single" w:color="auto" w:sz="4" w:space="0"/>
              <w:left w:val="single" w:color="auto" w:sz="4" w:space="0"/>
              <w:bottom w:val="single" w:color="auto" w:sz="4" w:space="0"/>
              <w:right w:val="single" w:color="auto" w:sz="4" w:space="0"/>
            </w:tcBorders>
            <w:vAlign w:val="center"/>
          </w:tcPr>
          <w:p w14:paraId="0AAC62B8">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项目名称</w:t>
            </w:r>
          </w:p>
        </w:tc>
        <w:tc>
          <w:tcPr>
            <w:tcW w:w="1985" w:type="dxa"/>
            <w:tcBorders>
              <w:top w:val="single" w:color="auto" w:sz="4" w:space="0"/>
              <w:left w:val="single" w:color="auto" w:sz="4" w:space="0"/>
              <w:bottom w:val="single" w:color="auto" w:sz="4" w:space="0"/>
              <w:right w:val="single" w:color="auto" w:sz="4" w:space="0"/>
            </w:tcBorders>
            <w:vAlign w:val="center"/>
          </w:tcPr>
          <w:p w14:paraId="1253E857">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铁屑数量</w:t>
            </w:r>
          </w:p>
        </w:tc>
        <w:tc>
          <w:tcPr>
            <w:tcW w:w="2126" w:type="dxa"/>
            <w:tcBorders>
              <w:top w:val="single" w:color="auto" w:sz="4" w:space="0"/>
              <w:left w:val="single" w:color="auto" w:sz="4" w:space="0"/>
              <w:bottom w:val="single" w:color="auto" w:sz="4" w:space="0"/>
              <w:right w:val="single" w:color="auto" w:sz="4" w:space="0"/>
            </w:tcBorders>
            <w:vAlign w:val="center"/>
          </w:tcPr>
          <w:p w14:paraId="38050DA0">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具体内容及要求</w:t>
            </w:r>
          </w:p>
        </w:tc>
      </w:tr>
      <w:tr w14:paraId="41AF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51" w:type="dxa"/>
            <w:tcBorders>
              <w:top w:val="single" w:color="auto" w:sz="4" w:space="0"/>
              <w:left w:val="single" w:color="auto" w:sz="4" w:space="0"/>
              <w:bottom w:val="single" w:color="auto" w:sz="4" w:space="0"/>
              <w:right w:val="single" w:color="auto" w:sz="4" w:space="0"/>
            </w:tcBorders>
            <w:vAlign w:val="center"/>
          </w:tcPr>
          <w:p w14:paraId="558C32E6">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1</w:t>
            </w:r>
          </w:p>
        </w:tc>
        <w:tc>
          <w:tcPr>
            <w:tcW w:w="1076" w:type="dxa"/>
            <w:tcBorders>
              <w:top w:val="single" w:color="auto" w:sz="4" w:space="0"/>
              <w:left w:val="single" w:color="auto" w:sz="4" w:space="0"/>
              <w:bottom w:val="single" w:color="auto" w:sz="4" w:space="0"/>
              <w:right w:val="single" w:color="auto" w:sz="4" w:space="0"/>
            </w:tcBorders>
            <w:vAlign w:val="center"/>
          </w:tcPr>
          <w:p w14:paraId="7E89741F">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1-1</w:t>
            </w:r>
          </w:p>
        </w:tc>
        <w:tc>
          <w:tcPr>
            <w:tcW w:w="2184" w:type="dxa"/>
            <w:tcBorders>
              <w:top w:val="single" w:color="auto" w:sz="4" w:space="0"/>
              <w:left w:val="single" w:color="auto" w:sz="4" w:space="0"/>
              <w:bottom w:val="single" w:color="auto" w:sz="4" w:space="0"/>
              <w:right w:val="single" w:color="auto" w:sz="4" w:space="0"/>
            </w:tcBorders>
            <w:vAlign w:val="center"/>
          </w:tcPr>
          <w:p w14:paraId="7A38CFE8">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2025</w:t>
            </w:r>
            <w:r>
              <w:rPr>
                <w:rFonts w:hint="eastAsia" w:ascii="宋体" w:hAnsi="宋体" w:eastAsia="宋体"/>
                <w:b w:val="0"/>
                <w:color w:val="auto"/>
                <w:sz w:val="21"/>
                <w:szCs w:val="21"/>
                <w:highlight w:val="none"/>
                <w:lang w:val="en-US" w:eastAsia="zh-CN"/>
              </w:rPr>
              <w:t>-2026</w:t>
            </w:r>
            <w:r>
              <w:rPr>
                <w:rFonts w:hint="eastAsia" w:ascii="宋体" w:hAnsi="宋体" w:eastAsia="宋体"/>
                <w:b w:val="0"/>
                <w:color w:val="auto"/>
                <w:sz w:val="21"/>
                <w:szCs w:val="21"/>
                <w:highlight w:val="none"/>
              </w:rPr>
              <w:t>年</w:t>
            </w:r>
            <w:r>
              <w:rPr>
                <w:rFonts w:ascii="宋体" w:hAnsi="宋体" w:eastAsia="宋体"/>
                <w:b w:val="0"/>
                <w:color w:val="auto"/>
                <w:sz w:val="21"/>
                <w:szCs w:val="21"/>
                <w:highlight w:val="none"/>
              </w:rPr>
              <w:t>度废铁屑销售</w:t>
            </w:r>
          </w:p>
        </w:tc>
        <w:tc>
          <w:tcPr>
            <w:tcW w:w="1985" w:type="dxa"/>
            <w:tcBorders>
              <w:top w:val="single" w:color="auto" w:sz="4" w:space="0"/>
              <w:left w:val="single" w:color="auto" w:sz="4" w:space="0"/>
              <w:bottom w:val="single" w:color="auto" w:sz="4" w:space="0"/>
              <w:right w:val="single" w:color="auto" w:sz="4" w:space="0"/>
            </w:tcBorders>
            <w:vAlign w:val="center"/>
          </w:tcPr>
          <w:p w14:paraId="708CE0DA">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3吨/月（具体以实际为准）</w:t>
            </w:r>
          </w:p>
        </w:tc>
        <w:tc>
          <w:tcPr>
            <w:tcW w:w="2126" w:type="dxa"/>
            <w:tcBorders>
              <w:top w:val="single" w:color="auto" w:sz="4" w:space="0"/>
              <w:left w:val="single" w:color="auto" w:sz="4" w:space="0"/>
              <w:bottom w:val="single" w:color="auto" w:sz="4" w:space="0"/>
              <w:right w:val="single" w:color="auto" w:sz="4" w:space="0"/>
            </w:tcBorders>
            <w:vAlign w:val="center"/>
          </w:tcPr>
          <w:p w14:paraId="679B08D9">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详见第二部分招标内容及要求</w:t>
            </w:r>
          </w:p>
        </w:tc>
      </w:tr>
      <w:tr w14:paraId="4178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51" w:type="dxa"/>
            <w:tcBorders>
              <w:top w:val="single" w:color="auto" w:sz="4" w:space="0"/>
              <w:left w:val="single" w:color="auto" w:sz="4" w:space="0"/>
              <w:bottom w:val="single" w:color="auto" w:sz="4" w:space="0"/>
              <w:right w:val="single" w:color="auto" w:sz="4" w:space="0"/>
            </w:tcBorders>
            <w:vAlign w:val="center"/>
          </w:tcPr>
          <w:p w14:paraId="7FBD9D8B">
            <w:pPr>
              <w:pStyle w:val="4"/>
              <w:tabs>
                <w:tab w:val="left" w:pos="8360"/>
              </w:tabs>
              <w:spacing w:line="420" w:lineRule="exact"/>
              <w:rPr>
                <w:rFonts w:hint="eastAsia" w:ascii="宋体" w:hAnsi="宋体" w:eastAsia="宋体"/>
                <w:b w:val="0"/>
                <w:color w:val="auto"/>
                <w:sz w:val="21"/>
                <w:szCs w:val="21"/>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2851E797">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1-2</w:t>
            </w:r>
          </w:p>
        </w:tc>
        <w:tc>
          <w:tcPr>
            <w:tcW w:w="2184" w:type="dxa"/>
            <w:tcBorders>
              <w:top w:val="single" w:color="auto" w:sz="4" w:space="0"/>
              <w:left w:val="single" w:color="auto" w:sz="4" w:space="0"/>
              <w:bottom w:val="single" w:color="auto" w:sz="4" w:space="0"/>
              <w:right w:val="single" w:color="auto" w:sz="4" w:space="0"/>
            </w:tcBorders>
            <w:vAlign w:val="center"/>
          </w:tcPr>
          <w:p w14:paraId="692E5CB3">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2025</w:t>
            </w:r>
            <w:r>
              <w:rPr>
                <w:rFonts w:hint="eastAsia" w:ascii="宋体" w:hAnsi="宋体" w:eastAsia="宋体"/>
                <w:b w:val="0"/>
                <w:color w:val="auto"/>
                <w:sz w:val="21"/>
                <w:szCs w:val="21"/>
                <w:highlight w:val="none"/>
                <w:lang w:val="en-US" w:eastAsia="zh-CN"/>
              </w:rPr>
              <w:t>-2026</w:t>
            </w:r>
            <w:r>
              <w:rPr>
                <w:rFonts w:hint="eastAsia" w:ascii="宋体" w:hAnsi="宋体" w:eastAsia="宋体"/>
                <w:b w:val="0"/>
                <w:color w:val="auto"/>
                <w:sz w:val="21"/>
                <w:szCs w:val="21"/>
                <w:highlight w:val="none"/>
              </w:rPr>
              <w:t>年</w:t>
            </w:r>
            <w:r>
              <w:rPr>
                <w:rFonts w:ascii="宋体" w:hAnsi="宋体" w:eastAsia="宋体"/>
                <w:b w:val="0"/>
                <w:color w:val="auto"/>
                <w:sz w:val="21"/>
                <w:szCs w:val="21"/>
                <w:highlight w:val="none"/>
              </w:rPr>
              <w:t>度废钢屑销售</w:t>
            </w:r>
          </w:p>
        </w:tc>
        <w:tc>
          <w:tcPr>
            <w:tcW w:w="1985" w:type="dxa"/>
            <w:tcBorders>
              <w:top w:val="single" w:color="auto" w:sz="4" w:space="0"/>
              <w:left w:val="single" w:color="auto" w:sz="4" w:space="0"/>
              <w:bottom w:val="single" w:color="auto" w:sz="4" w:space="0"/>
              <w:right w:val="single" w:color="auto" w:sz="4" w:space="0"/>
            </w:tcBorders>
            <w:vAlign w:val="center"/>
          </w:tcPr>
          <w:p w14:paraId="32A73EDB">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10吨/月（具体以实际为准）</w:t>
            </w:r>
          </w:p>
        </w:tc>
        <w:tc>
          <w:tcPr>
            <w:tcW w:w="2126" w:type="dxa"/>
            <w:tcBorders>
              <w:top w:val="single" w:color="auto" w:sz="4" w:space="0"/>
              <w:left w:val="single" w:color="auto" w:sz="4" w:space="0"/>
              <w:bottom w:val="single" w:color="auto" w:sz="4" w:space="0"/>
              <w:right w:val="single" w:color="auto" w:sz="4" w:space="0"/>
            </w:tcBorders>
            <w:vAlign w:val="center"/>
          </w:tcPr>
          <w:p w14:paraId="55232CC0">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详见第二部分招标内容及要求</w:t>
            </w:r>
          </w:p>
        </w:tc>
      </w:tr>
      <w:tr w14:paraId="0D45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51" w:type="dxa"/>
            <w:tcBorders>
              <w:top w:val="single" w:color="auto" w:sz="4" w:space="0"/>
              <w:left w:val="single" w:color="auto" w:sz="4" w:space="0"/>
              <w:bottom w:val="single" w:color="auto" w:sz="4" w:space="0"/>
              <w:right w:val="single" w:color="auto" w:sz="4" w:space="0"/>
            </w:tcBorders>
            <w:vAlign w:val="center"/>
          </w:tcPr>
          <w:p w14:paraId="4DFAFEBD">
            <w:pPr>
              <w:pStyle w:val="4"/>
              <w:tabs>
                <w:tab w:val="left" w:pos="8360"/>
              </w:tabs>
              <w:spacing w:line="420" w:lineRule="exact"/>
              <w:rPr>
                <w:rFonts w:hint="eastAsia" w:ascii="宋体" w:hAnsi="宋体" w:eastAsia="宋体"/>
                <w:b w:val="0"/>
                <w:color w:val="auto"/>
                <w:sz w:val="21"/>
                <w:szCs w:val="21"/>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310B7606">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1-3</w:t>
            </w:r>
          </w:p>
        </w:tc>
        <w:tc>
          <w:tcPr>
            <w:tcW w:w="2184" w:type="dxa"/>
            <w:tcBorders>
              <w:top w:val="single" w:color="auto" w:sz="4" w:space="0"/>
              <w:left w:val="single" w:color="auto" w:sz="4" w:space="0"/>
              <w:bottom w:val="single" w:color="auto" w:sz="4" w:space="0"/>
              <w:right w:val="single" w:color="auto" w:sz="4" w:space="0"/>
            </w:tcBorders>
            <w:vAlign w:val="center"/>
          </w:tcPr>
          <w:p w14:paraId="1FBB8419">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2025</w:t>
            </w:r>
            <w:r>
              <w:rPr>
                <w:rFonts w:hint="eastAsia" w:ascii="宋体" w:hAnsi="宋体" w:eastAsia="宋体"/>
                <w:b w:val="0"/>
                <w:color w:val="auto"/>
                <w:sz w:val="21"/>
                <w:szCs w:val="21"/>
                <w:highlight w:val="none"/>
                <w:lang w:val="en-US" w:eastAsia="zh-CN"/>
              </w:rPr>
              <w:t>-2026</w:t>
            </w:r>
            <w:r>
              <w:rPr>
                <w:rFonts w:hint="eastAsia" w:ascii="宋体" w:hAnsi="宋体" w:eastAsia="宋体"/>
                <w:b w:val="0"/>
                <w:color w:val="auto"/>
                <w:sz w:val="21"/>
                <w:szCs w:val="21"/>
                <w:highlight w:val="none"/>
              </w:rPr>
              <w:t>年</w:t>
            </w:r>
            <w:r>
              <w:rPr>
                <w:rFonts w:ascii="宋体" w:hAnsi="宋体" w:eastAsia="宋体"/>
                <w:b w:val="0"/>
                <w:color w:val="auto"/>
                <w:sz w:val="21"/>
                <w:szCs w:val="21"/>
                <w:highlight w:val="none"/>
              </w:rPr>
              <w:t>度废铝屑销售</w:t>
            </w:r>
          </w:p>
        </w:tc>
        <w:tc>
          <w:tcPr>
            <w:tcW w:w="1985" w:type="dxa"/>
            <w:tcBorders>
              <w:top w:val="single" w:color="auto" w:sz="4" w:space="0"/>
              <w:left w:val="single" w:color="auto" w:sz="4" w:space="0"/>
              <w:bottom w:val="single" w:color="auto" w:sz="4" w:space="0"/>
              <w:right w:val="single" w:color="auto" w:sz="4" w:space="0"/>
            </w:tcBorders>
            <w:vAlign w:val="center"/>
          </w:tcPr>
          <w:p w14:paraId="77C7643B">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0.5吨/月（具体以实际为准）</w:t>
            </w:r>
          </w:p>
        </w:tc>
        <w:tc>
          <w:tcPr>
            <w:tcW w:w="2126" w:type="dxa"/>
            <w:tcBorders>
              <w:top w:val="single" w:color="auto" w:sz="4" w:space="0"/>
              <w:left w:val="single" w:color="auto" w:sz="4" w:space="0"/>
              <w:bottom w:val="single" w:color="auto" w:sz="4" w:space="0"/>
              <w:right w:val="single" w:color="auto" w:sz="4" w:space="0"/>
            </w:tcBorders>
            <w:vAlign w:val="center"/>
          </w:tcPr>
          <w:p w14:paraId="375D31A2">
            <w:pPr>
              <w:pStyle w:val="4"/>
              <w:tabs>
                <w:tab w:val="left" w:pos="8360"/>
              </w:tabs>
              <w:spacing w:line="420" w:lineRule="exac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详见第二部分招标内容及要求</w:t>
            </w:r>
          </w:p>
        </w:tc>
      </w:tr>
    </w:tbl>
    <w:p w14:paraId="4AD41DFA">
      <w:pPr>
        <w:spacing w:before="0" w:beforeAutospacing="0" w:after="0" w:afterAutospacing="0" w:line="360" w:lineRule="auto"/>
        <w:ind w:left="0" w:leftChars="0"/>
        <w:rPr>
          <w:rFonts w:hint="eastAsia" w:ascii="宋体" w:hAnsi="宋体"/>
          <w:color w:val="auto"/>
          <w:sz w:val="24"/>
          <w:highlight w:val="none"/>
        </w:rPr>
      </w:pPr>
    </w:p>
    <w:p w14:paraId="468EE7E5">
      <w:pPr>
        <w:spacing w:before="0" w:beforeAutospacing="0" w:after="0" w:afterAutospacing="0" w:line="360" w:lineRule="auto"/>
        <w:ind w:left="0" w:leftChars="0"/>
        <w:rPr>
          <w:rFonts w:hint="eastAsia" w:ascii="宋体" w:hAnsi="宋体"/>
          <w:color w:val="auto"/>
          <w:sz w:val="24"/>
          <w:highlight w:val="none"/>
        </w:rPr>
      </w:pPr>
      <w:r>
        <w:rPr>
          <w:rFonts w:ascii="宋体" w:hAnsi="宋体"/>
          <w:color w:val="auto"/>
          <w:sz w:val="24"/>
          <w:highlight w:val="none"/>
        </w:rPr>
        <w:t>注：</w:t>
      </w:r>
    </w:p>
    <w:p w14:paraId="7363217E">
      <w:pPr>
        <w:spacing w:before="0" w:beforeAutospacing="0" w:after="0" w:afterAutospacing="0" w:line="360" w:lineRule="auto"/>
        <w:ind w:left="0" w:leftChars="0"/>
        <w:rPr>
          <w:rFonts w:hint="eastAsia" w:ascii="宋体" w:hAnsi="宋体"/>
          <w:color w:val="auto"/>
          <w:sz w:val="24"/>
          <w:highlight w:val="none"/>
        </w:rPr>
      </w:pPr>
      <w:r>
        <w:rPr>
          <w:rFonts w:hint="eastAsia" w:ascii="宋体" w:hAnsi="宋体"/>
          <w:color w:val="auto"/>
          <w:sz w:val="24"/>
          <w:highlight w:val="none"/>
        </w:rPr>
        <w:t>铁屑、钢屑、铝屑数量为预估数量，本项目的结算方式以实际为准，按实结算。</w:t>
      </w:r>
    </w:p>
    <w:p w14:paraId="3D08CECB">
      <w:pPr>
        <w:tabs>
          <w:tab w:val="left" w:pos="180"/>
        </w:tabs>
        <w:spacing w:before="0" w:beforeAutospacing="0" w:after="0" w:afterAutospacing="0"/>
        <w:ind w:left="69"/>
        <w:rPr>
          <w:rFonts w:hint="eastAsia" w:ascii="宋体" w:hAnsi="宋体"/>
          <w:b/>
          <w:bCs/>
          <w:color w:val="auto"/>
          <w:sz w:val="44"/>
          <w:highlight w:val="none"/>
        </w:rPr>
      </w:pPr>
    </w:p>
    <w:p w14:paraId="15F20A81">
      <w:pPr>
        <w:tabs>
          <w:tab w:val="left" w:pos="180"/>
        </w:tabs>
        <w:spacing w:before="0" w:beforeAutospacing="0" w:after="0" w:afterAutospacing="0"/>
        <w:ind w:left="69"/>
        <w:rPr>
          <w:rFonts w:hint="eastAsia" w:ascii="宋体" w:hAnsi="宋体"/>
          <w:b/>
          <w:bCs/>
          <w:color w:val="auto"/>
          <w:sz w:val="44"/>
          <w:highlight w:val="none"/>
        </w:rPr>
      </w:pPr>
    </w:p>
    <w:p w14:paraId="0189B8A8">
      <w:pPr>
        <w:tabs>
          <w:tab w:val="left" w:pos="180"/>
        </w:tabs>
        <w:spacing w:before="0" w:beforeAutospacing="0" w:after="0" w:afterAutospacing="0"/>
        <w:ind w:left="0" w:leftChars="0"/>
        <w:rPr>
          <w:rFonts w:hint="eastAsia" w:ascii="宋体" w:hAnsi="宋体"/>
          <w:b/>
          <w:bCs/>
          <w:color w:val="auto"/>
          <w:sz w:val="44"/>
          <w:highlight w:val="none"/>
        </w:rPr>
      </w:pPr>
    </w:p>
    <w:p w14:paraId="1B7DA494">
      <w:pPr>
        <w:tabs>
          <w:tab w:val="left" w:pos="180"/>
        </w:tabs>
        <w:spacing w:before="0" w:beforeAutospacing="0" w:after="0" w:afterAutospacing="0"/>
        <w:ind w:left="69"/>
        <w:rPr>
          <w:rFonts w:hint="eastAsia" w:ascii="宋体" w:hAnsi="宋体"/>
          <w:b/>
          <w:bCs/>
          <w:color w:val="auto"/>
          <w:sz w:val="44"/>
          <w:highlight w:val="none"/>
        </w:rPr>
      </w:pPr>
    </w:p>
    <w:p w14:paraId="3E1F874D">
      <w:pPr>
        <w:tabs>
          <w:tab w:val="left" w:pos="180"/>
        </w:tabs>
        <w:spacing w:before="0" w:beforeAutospacing="0" w:after="0" w:afterAutospacing="0"/>
        <w:ind w:left="69"/>
        <w:rPr>
          <w:rFonts w:hint="eastAsia" w:ascii="宋体" w:hAnsi="宋体"/>
          <w:b/>
          <w:bCs/>
          <w:color w:val="auto"/>
          <w:sz w:val="44"/>
          <w:highlight w:val="none"/>
        </w:rPr>
      </w:pPr>
    </w:p>
    <w:p w14:paraId="5A966987">
      <w:pPr>
        <w:tabs>
          <w:tab w:val="left" w:pos="180"/>
        </w:tabs>
        <w:spacing w:before="0" w:beforeAutospacing="0" w:after="0" w:afterAutospacing="0"/>
        <w:ind w:left="69"/>
        <w:rPr>
          <w:rFonts w:hint="eastAsia" w:ascii="宋体" w:hAnsi="宋体"/>
          <w:b/>
          <w:bCs/>
          <w:color w:val="auto"/>
          <w:sz w:val="44"/>
          <w:highlight w:val="none"/>
        </w:rPr>
      </w:pPr>
    </w:p>
    <w:p w14:paraId="575B4C63">
      <w:pPr>
        <w:tabs>
          <w:tab w:val="left" w:pos="180"/>
        </w:tabs>
        <w:spacing w:before="0" w:beforeAutospacing="0" w:after="0" w:afterAutospacing="0"/>
        <w:ind w:left="69"/>
        <w:rPr>
          <w:rFonts w:hint="eastAsia" w:ascii="宋体" w:hAnsi="宋体"/>
          <w:b/>
          <w:bCs/>
          <w:color w:val="auto"/>
          <w:sz w:val="44"/>
          <w:highlight w:val="none"/>
        </w:rPr>
      </w:pPr>
    </w:p>
    <w:p w14:paraId="648E64D4">
      <w:pPr>
        <w:tabs>
          <w:tab w:val="left" w:pos="180"/>
        </w:tabs>
        <w:spacing w:before="0" w:beforeAutospacing="0" w:after="0" w:afterAutospacing="0"/>
        <w:ind w:left="69"/>
        <w:rPr>
          <w:rFonts w:hint="eastAsia" w:ascii="宋体" w:hAnsi="宋体"/>
          <w:b/>
          <w:bCs/>
          <w:color w:val="auto"/>
          <w:sz w:val="44"/>
          <w:highlight w:val="none"/>
        </w:rPr>
      </w:pPr>
    </w:p>
    <w:p w14:paraId="45BF0450">
      <w:pPr>
        <w:spacing w:line="600" w:lineRule="exact"/>
        <w:ind w:left="69"/>
        <w:rPr>
          <w:rFonts w:hint="eastAsia" w:ascii="宋体" w:hAnsi="宋体"/>
          <w:b/>
          <w:color w:val="auto"/>
          <w:highlight w:val="none"/>
        </w:rPr>
        <w:sectPr>
          <w:headerReference r:id="rId12" w:type="first"/>
          <w:footerReference r:id="rId14" w:type="first"/>
          <w:headerReference r:id="rId11" w:type="default"/>
          <w:footerReference r:id="rId13" w:type="default"/>
          <w:pgSz w:w="11906" w:h="16838"/>
          <w:pgMar w:top="1440" w:right="1797" w:bottom="1440" w:left="1797" w:header="851" w:footer="992" w:gutter="0"/>
          <w:pgNumType w:start="1"/>
          <w:cols w:space="720" w:num="1"/>
          <w:titlePg/>
          <w:docGrid w:type="lines" w:linePitch="312" w:charSpace="0"/>
        </w:sectPr>
      </w:pPr>
    </w:p>
    <w:p w14:paraId="4C154F19">
      <w:pPr>
        <w:spacing w:line="360" w:lineRule="auto"/>
        <w:ind w:left="31" w:leftChars="15" w:right="-361" w:rightChars="-172" w:firstLine="2530" w:firstLineChars="700"/>
        <w:rPr>
          <w:rFonts w:hint="eastAsia" w:ascii="宋体" w:hAnsi="宋体"/>
          <w:b/>
          <w:color w:val="auto"/>
          <w:sz w:val="36"/>
          <w:szCs w:val="36"/>
          <w:highlight w:val="none"/>
        </w:rPr>
      </w:pPr>
      <w:r>
        <w:rPr>
          <w:rFonts w:hint="eastAsia" w:ascii="宋体" w:hAnsi="宋体"/>
          <w:b/>
          <w:color w:val="auto"/>
          <w:sz w:val="36"/>
          <w:szCs w:val="36"/>
          <w:highlight w:val="none"/>
        </w:rPr>
        <w:t>第二部分  招标内容及要求</w:t>
      </w:r>
    </w:p>
    <w:p w14:paraId="68884A58">
      <w:pPr>
        <w:spacing w:line="360" w:lineRule="auto"/>
        <w:ind w:left="69" w:right="-361" w:rightChars="-172"/>
        <w:rPr>
          <w:rFonts w:hint="eastAsia" w:ascii="宋体" w:hAnsi="宋体"/>
          <w:color w:val="auto"/>
          <w:w w:val="200"/>
          <w:sz w:val="24"/>
          <w:highlight w:val="none"/>
          <w:u w:val="wave"/>
        </w:rPr>
      </w:pPr>
    </w:p>
    <w:p w14:paraId="4F99111F">
      <w:pPr>
        <w:spacing w:line="360" w:lineRule="auto"/>
        <w:ind w:left="69" w:right="-361" w:rightChars="-172"/>
        <w:rPr>
          <w:rFonts w:hint="eastAsia" w:ascii="宋体" w:hAnsi="宋体"/>
          <w:b/>
          <w:color w:val="auto"/>
          <w:w w:val="200"/>
          <w:sz w:val="24"/>
          <w:highlight w:val="none"/>
        </w:rPr>
      </w:pPr>
      <w:r>
        <w:rPr>
          <w:rFonts w:hint="eastAsia" w:ascii="宋体" w:hAnsi="宋体"/>
          <w:color w:val="auto"/>
          <w:w w:val="200"/>
          <w:sz w:val="24"/>
          <w:highlight w:val="none"/>
          <w:u w:val="wave"/>
        </w:rPr>
        <w:t>提示：</w:t>
      </w:r>
    </w:p>
    <w:p w14:paraId="3E32B578">
      <w:pPr>
        <w:pStyle w:val="10"/>
        <w:spacing w:line="360" w:lineRule="auto"/>
        <w:ind w:left="410" w:hanging="410" w:hangingChars="171"/>
        <w:rPr>
          <w:rFonts w:hint="eastAsia" w:ascii="宋体" w:hAnsi="宋体" w:eastAsia="宋体"/>
          <w:b w:val="0"/>
          <w:bCs w:val="0"/>
          <w:color w:val="auto"/>
          <w:szCs w:val="24"/>
          <w:highlight w:val="none"/>
        </w:rPr>
      </w:pPr>
      <w:r>
        <w:rPr>
          <w:rFonts w:hint="eastAsia" w:ascii="宋体" w:hAnsi="宋体" w:eastAsia="宋体"/>
          <w:b w:val="0"/>
          <w:bCs w:val="0"/>
          <w:color w:val="auto"/>
          <w:szCs w:val="24"/>
          <w:highlight w:val="none"/>
        </w:rPr>
        <w:t>1、全文中带有</w:t>
      </w:r>
      <w:r>
        <w:rPr>
          <w:rFonts w:hint="eastAsia" w:ascii="宋体" w:hAnsi="宋体" w:eastAsia="宋体"/>
          <w:bCs w:val="0"/>
          <w:color w:val="auto"/>
          <w:szCs w:val="24"/>
          <w:highlight w:val="none"/>
        </w:rPr>
        <w:t>“*”</w:t>
      </w:r>
      <w:r>
        <w:rPr>
          <w:rFonts w:hint="eastAsia" w:ascii="宋体" w:hAnsi="宋体" w:eastAsia="宋体"/>
          <w:b w:val="0"/>
          <w:bCs w:val="0"/>
          <w:color w:val="auto"/>
          <w:szCs w:val="24"/>
          <w:highlight w:val="none"/>
        </w:rPr>
        <w:t>的条款为必须实质性响应条款，对这些条款的任何负偏离或不满足作废标处理。</w:t>
      </w:r>
    </w:p>
    <w:p w14:paraId="3A6882F4">
      <w:pPr>
        <w:pStyle w:val="10"/>
        <w:spacing w:line="360" w:lineRule="auto"/>
        <w:ind w:left="410" w:hanging="410" w:hangingChars="171"/>
        <w:rPr>
          <w:rFonts w:hint="eastAsia" w:ascii="宋体" w:hAnsi="宋体" w:eastAsia="宋体"/>
          <w:b w:val="0"/>
          <w:bCs w:val="0"/>
          <w:color w:val="auto"/>
          <w:szCs w:val="24"/>
          <w:highlight w:val="none"/>
        </w:rPr>
      </w:pPr>
      <w:r>
        <w:rPr>
          <w:rFonts w:hint="eastAsia" w:ascii="宋体" w:hAnsi="宋体" w:eastAsia="宋体"/>
          <w:b w:val="0"/>
          <w:bCs w:val="0"/>
          <w:color w:val="auto"/>
          <w:szCs w:val="24"/>
          <w:highlight w:val="none"/>
        </w:rPr>
        <w:t>2、若招标文件中其它部分的相关条款与第二部分发生理解冲突，则以第二部分条款解释为准；如发生招标文件的修改，则相关条款以更改通知为准。</w:t>
      </w:r>
    </w:p>
    <w:p w14:paraId="5674939F">
      <w:pPr>
        <w:pStyle w:val="10"/>
        <w:spacing w:line="360" w:lineRule="auto"/>
        <w:ind w:left="412" w:hanging="412" w:hangingChars="171"/>
        <w:rPr>
          <w:rFonts w:hint="eastAsia" w:ascii="宋体" w:hAnsi="宋体" w:eastAsia="宋体"/>
          <w:b w:val="0"/>
          <w:bCs w:val="0"/>
          <w:color w:val="auto"/>
          <w:szCs w:val="24"/>
          <w:highlight w:val="none"/>
        </w:rPr>
      </w:pPr>
      <w:r>
        <w:rPr>
          <w:rFonts w:hint="eastAsia" w:ascii="宋体" w:hAnsi="宋体" w:eastAsia="宋体"/>
          <w:bCs w:val="0"/>
          <w:color w:val="auto"/>
          <w:szCs w:val="24"/>
          <w:highlight w:val="none"/>
        </w:rPr>
        <w:t>3</w:t>
      </w:r>
      <w:r>
        <w:rPr>
          <w:rFonts w:hint="eastAsia" w:ascii="宋体" w:hAnsi="宋体" w:eastAsia="宋体"/>
          <w:b w:val="0"/>
          <w:bCs w:val="0"/>
          <w:color w:val="auto"/>
          <w:szCs w:val="24"/>
          <w:highlight w:val="none"/>
        </w:rPr>
        <w:t>、本文所述技术要求，应视为保证运行所需的最低要求，如有遗漏，投标人应予以补充，否则，一旦中标将认为投标人认同遗漏部分并免费提供。</w:t>
      </w:r>
    </w:p>
    <w:p w14:paraId="51501174">
      <w:pPr>
        <w:pStyle w:val="10"/>
        <w:spacing w:line="360" w:lineRule="auto"/>
        <w:ind w:left="412" w:hanging="412" w:hangingChars="171"/>
        <w:rPr>
          <w:rFonts w:hint="eastAsia" w:ascii="宋体" w:hAnsi="宋体" w:eastAsia="宋体"/>
          <w:bCs w:val="0"/>
          <w:color w:val="auto"/>
          <w:szCs w:val="24"/>
          <w:highlight w:val="none"/>
        </w:rPr>
      </w:pPr>
      <w:r>
        <w:rPr>
          <w:rFonts w:hint="eastAsia" w:ascii="宋体" w:hAnsi="宋体" w:eastAsia="宋体"/>
          <w:bCs w:val="0"/>
          <w:color w:val="auto"/>
          <w:szCs w:val="24"/>
          <w:highlight w:val="none"/>
        </w:rPr>
        <w:t>*4、本次投标不接受联合体投标。</w:t>
      </w:r>
    </w:p>
    <w:p w14:paraId="07BA6F0D">
      <w:pPr>
        <w:pStyle w:val="10"/>
        <w:spacing w:line="360" w:lineRule="auto"/>
        <w:ind w:left="412" w:hanging="412" w:hangingChars="171"/>
        <w:rPr>
          <w:rFonts w:hint="eastAsia" w:ascii="宋体" w:hAnsi="宋体" w:eastAsia="宋体"/>
          <w:bCs w:val="0"/>
          <w:color w:val="auto"/>
          <w:szCs w:val="24"/>
          <w:highlight w:val="none"/>
        </w:rPr>
      </w:pPr>
      <w:r>
        <w:rPr>
          <w:rFonts w:hint="eastAsia" w:ascii="宋体" w:hAnsi="宋体" w:eastAsia="宋体"/>
          <w:bCs w:val="0"/>
          <w:color w:val="auto"/>
          <w:szCs w:val="24"/>
          <w:highlight w:val="none"/>
        </w:rPr>
        <w:t>*5、法定代表人为同一个人的两个及两个以上法人，母公司、全资子公司及其控股公司，都不得在同一项目招标中同时投标，否则均作废标处理。</w:t>
      </w:r>
    </w:p>
    <w:p w14:paraId="16430C62">
      <w:pPr>
        <w:spacing w:line="360" w:lineRule="auto"/>
        <w:ind w:left="69"/>
        <w:rPr>
          <w:rFonts w:hint="eastAsia" w:ascii="宋体" w:hAnsi="宋体"/>
          <w:color w:val="auto"/>
          <w:sz w:val="24"/>
          <w:highlight w:val="none"/>
        </w:rPr>
      </w:pPr>
    </w:p>
    <w:p w14:paraId="253ECA18">
      <w:pPr>
        <w:spacing w:line="360" w:lineRule="auto"/>
        <w:ind w:left="69"/>
        <w:rPr>
          <w:rFonts w:hint="eastAsia" w:ascii="宋体" w:hAnsi="宋体"/>
          <w:color w:val="auto"/>
          <w:sz w:val="24"/>
          <w:highlight w:val="none"/>
        </w:rPr>
      </w:pPr>
    </w:p>
    <w:p w14:paraId="74DBC0EC">
      <w:pPr>
        <w:spacing w:line="360" w:lineRule="auto"/>
        <w:ind w:left="69"/>
        <w:rPr>
          <w:rFonts w:hint="eastAsia" w:ascii="宋体" w:hAnsi="宋体"/>
          <w:color w:val="auto"/>
          <w:sz w:val="24"/>
          <w:highlight w:val="none"/>
        </w:rPr>
      </w:pPr>
    </w:p>
    <w:p w14:paraId="2D852582">
      <w:pPr>
        <w:spacing w:line="360" w:lineRule="auto"/>
        <w:ind w:left="69"/>
        <w:rPr>
          <w:rFonts w:hint="eastAsia" w:ascii="宋体" w:hAnsi="宋体"/>
          <w:color w:val="auto"/>
          <w:sz w:val="24"/>
          <w:highlight w:val="none"/>
        </w:rPr>
      </w:pPr>
    </w:p>
    <w:p w14:paraId="67FCA4CC">
      <w:pPr>
        <w:spacing w:line="360" w:lineRule="auto"/>
        <w:ind w:left="69"/>
        <w:rPr>
          <w:rFonts w:hint="eastAsia" w:ascii="宋体" w:hAnsi="宋体"/>
          <w:color w:val="auto"/>
          <w:sz w:val="24"/>
          <w:highlight w:val="none"/>
        </w:rPr>
      </w:pPr>
    </w:p>
    <w:p w14:paraId="624B0544">
      <w:pPr>
        <w:pStyle w:val="32"/>
        <w:spacing w:line="360" w:lineRule="auto"/>
        <w:rPr>
          <w:rFonts w:hint="eastAsia" w:asciiTheme="minorEastAsia" w:hAnsiTheme="minorEastAsia" w:eastAsiaTheme="minorEastAsia"/>
          <w:b/>
          <w:color w:val="auto"/>
          <w:highlight w:val="none"/>
        </w:rPr>
      </w:pPr>
      <w:r>
        <w:rPr>
          <w:rFonts w:hAnsi="宋体"/>
          <w:color w:val="auto"/>
          <w:highlight w:val="none"/>
        </w:rPr>
        <w:br w:type="page"/>
      </w:r>
      <w:bookmarkStart w:id="2" w:name="_Toc172776046"/>
      <w:bookmarkStart w:id="3" w:name="_Toc474232055"/>
      <w:bookmarkStart w:id="4" w:name="_Toc411407141"/>
      <w:bookmarkStart w:id="5" w:name="_Toc431323060"/>
      <w:r>
        <w:rPr>
          <w:rFonts w:hint="eastAsia" w:asciiTheme="minorEastAsia" w:hAnsiTheme="minorEastAsia" w:eastAsiaTheme="minorEastAsia"/>
          <w:b/>
          <w:color w:val="auto"/>
          <w:highlight w:val="none"/>
        </w:rPr>
        <w:t>一、招标项目技术要求</w:t>
      </w:r>
      <w:bookmarkEnd w:id="2"/>
      <w:bookmarkEnd w:id="3"/>
      <w:bookmarkEnd w:id="4"/>
      <w:bookmarkEnd w:id="5"/>
    </w:p>
    <w:p w14:paraId="7315F5C4">
      <w:pPr>
        <w:pStyle w:val="6"/>
        <w:spacing w:before="156" w:beforeLines="50" w:after="156" w:afterLines="50" w:line="360" w:lineRule="auto"/>
        <w:ind w:firstLine="482" w:firstLineChars="200"/>
        <w:jc w:val="both"/>
        <w:rPr>
          <w:rFonts w:hint="eastAsia" w:asciiTheme="minorEastAsia" w:hAnsiTheme="minorEastAsia" w:eastAsiaTheme="minorEastAsia"/>
          <w:color w:val="auto"/>
          <w:sz w:val="24"/>
          <w:szCs w:val="24"/>
          <w:highlight w:val="none"/>
        </w:rPr>
      </w:pPr>
      <w:bookmarkStart w:id="6" w:name="_Toc454182789"/>
      <w:bookmarkStart w:id="7" w:name="_Toc474232056"/>
      <w:r>
        <w:rPr>
          <w:rFonts w:hint="eastAsia" w:asciiTheme="minorEastAsia" w:hAnsiTheme="minorEastAsia" w:eastAsiaTheme="minorEastAsia"/>
          <w:color w:val="auto"/>
          <w:sz w:val="24"/>
          <w:szCs w:val="24"/>
          <w:highlight w:val="none"/>
        </w:rPr>
        <w:t>（一）项目概况</w:t>
      </w:r>
      <w:bookmarkEnd w:id="6"/>
      <w:bookmarkEnd w:id="7"/>
    </w:p>
    <w:p w14:paraId="2C8247E8">
      <w:pPr>
        <w:pStyle w:val="7"/>
        <w:spacing w:line="360" w:lineRule="auto"/>
        <w:ind w:firstLine="480" w:firstLineChars="200"/>
        <w:rPr>
          <w:rFonts w:hint="eastAsia"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szCs w:val="24"/>
          <w:highlight w:val="none"/>
        </w:rPr>
        <w:t>四川长江液压件有限责任公司业务范围主要为液压油缸、齿轮泵、多路阀，生产过程中会产生废铁屑、钢屑、铝屑，每月产生约铁屑</w:t>
      </w:r>
      <w:r>
        <w:rPr>
          <w:rFonts w:hint="eastAsia" w:asciiTheme="minorEastAsia" w:hAnsiTheme="minorEastAsia" w:eastAsiaTheme="minorEastAsia"/>
          <w:bCs/>
          <w:color w:val="auto"/>
          <w:sz w:val="24"/>
          <w:szCs w:val="24"/>
          <w:highlight w:val="none"/>
        </w:rPr>
        <w:t>3吨</w:t>
      </w:r>
      <w:r>
        <w:rPr>
          <w:rFonts w:asciiTheme="minorEastAsia" w:hAnsiTheme="minorEastAsia" w:eastAsiaTheme="minorEastAsia"/>
          <w:bCs/>
          <w:color w:val="auto"/>
          <w:sz w:val="24"/>
          <w:szCs w:val="24"/>
          <w:highlight w:val="none"/>
        </w:rPr>
        <w:t>、钢屑</w:t>
      </w:r>
      <w:r>
        <w:rPr>
          <w:rFonts w:hint="eastAsia" w:asciiTheme="minorEastAsia" w:hAnsiTheme="minorEastAsia" w:eastAsiaTheme="minorEastAsia"/>
          <w:bCs/>
          <w:color w:val="auto"/>
          <w:sz w:val="24"/>
          <w:szCs w:val="24"/>
          <w:highlight w:val="none"/>
        </w:rPr>
        <w:t>10吨</w:t>
      </w:r>
      <w:r>
        <w:rPr>
          <w:rFonts w:asciiTheme="minorEastAsia" w:hAnsiTheme="minorEastAsia" w:eastAsiaTheme="minorEastAsia"/>
          <w:bCs/>
          <w:color w:val="auto"/>
          <w:sz w:val="24"/>
          <w:szCs w:val="24"/>
          <w:highlight w:val="none"/>
        </w:rPr>
        <w:t>、铝屑</w:t>
      </w:r>
      <w:r>
        <w:rPr>
          <w:rFonts w:hint="eastAsia" w:asciiTheme="minorEastAsia" w:hAnsiTheme="minorEastAsia" w:eastAsiaTheme="minorEastAsia"/>
          <w:bCs/>
          <w:color w:val="auto"/>
          <w:sz w:val="24"/>
          <w:szCs w:val="24"/>
          <w:highlight w:val="none"/>
        </w:rPr>
        <w:t>0.5</w:t>
      </w:r>
      <w:r>
        <w:rPr>
          <w:rFonts w:asciiTheme="minorEastAsia" w:hAnsiTheme="minorEastAsia" w:eastAsiaTheme="minorEastAsia"/>
          <w:bCs/>
          <w:color w:val="auto"/>
          <w:sz w:val="24"/>
          <w:szCs w:val="24"/>
          <w:highlight w:val="none"/>
        </w:rPr>
        <w:t>吨，现拟对外公开招标，确定合格的购买方</w:t>
      </w:r>
      <w:r>
        <w:rPr>
          <w:rFonts w:hint="eastAsia" w:asciiTheme="minorEastAsia" w:hAnsiTheme="minorEastAsia" w:eastAsiaTheme="minorEastAsia"/>
          <w:bCs/>
          <w:color w:val="auto"/>
          <w:sz w:val="24"/>
          <w:szCs w:val="24"/>
          <w:highlight w:val="none"/>
        </w:rPr>
        <w:t>。</w:t>
      </w:r>
    </w:p>
    <w:p w14:paraId="1D0D51BF">
      <w:pPr>
        <w:pStyle w:val="6"/>
        <w:spacing w:before="156" w:beforeLines="50" w:after="156" w:afterLines="50" w:line="360" w:lineRule="auto"/>
        <w:ind w:firstLine="482" w:firstLineChars="200"/>
        <w:jc w:val="both"/>
        <w:rPr>
          <w:rFonts w:hint="eastAsia" w:asciiTheme="minorEastAsia" w:hAnsiTheme="minorEastAsia" w:eastAsiaTheme="minorEastAsia"/>
          <w:color w:val="auto"/>
          <w:sz w:val="24"/>
          <w:szCs w:val="24"/>
          <w:highlight w:val="none"/>
        </w:rPr>
      </w:pPr>
      <w:bookmarkStart w:id="8" w:name="_Toc454182790"/>
      <w:bookmarkStart w:id="9" w:name="_Toc474232057"/>
      <w:r>
        <w:rPr>
          <w:rFonts w:hint="eastAsia" w:asciiTheme="minorEastAsia" w:hAnsiTheme="minorEastAsia" w:eastAsiaTheme="minorEastAsia"/>
          <w:color w:val="auto"/>
          <w:sz w:val="24"/>
          <w:szCs w:val="24"/>
          <w:highlight w:val="none"/>
        </w:rPr>
        <w:t>（二）招标范围：</w:t>
      </w:r>
      <w:bookmarkEnd w:id="8"/>
      <w:bookmarkEnd w:id="9"/>
    </w:p>
    <w:p w14:paraId="2305C449">
      <w:pPr>
        <w:spacing w:before="0" w:beforeAutospacing="0" w:after="0" w:afterAutospacing="0" w:line="360" w:lineRule="auto"/>
        <w:ind w:left="69"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2025</w:t>
      </w:r>
      <w:r>
        <w:rPr>
          <w:rFonts w:hint="eastAsia" w:asciiTheme="minorEastAsia" w:hAnsiTheme="minorEastAsia" w:eastAsiaTheme="minorEastAsia"/>
          <w:color w:val="auto"/>
          <w:sz w:val="24"/>
          <w:highlight w:val="none"/>
          <w:lang w:val="en-US" w:eastAsia="zh-CN"/>
        </w:rPr>
        <w:t>-2026</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度废铁屑、钢屑、铝屑等废旧物资销售</w:t>
      </w:r>
      <w:r>
        <w:rPr>
          <w:rFonts w:hint="eastAsia" w:asciiTheme="minorEastAsia" w:hAnsiTheme="minorEastAsia" w:eastAsiaTheme="minorEastAsia"/>
          <w:bCs/>
          <w:color w:val="auto"/>
          <w:sz w:val="24"/>
          <w:highlight w:val="none"/>
        </w:rPr>
        <w:t>。</w:t>
      </w:r>
    </w:p>
    <w:p w14:paraId="2F47EB54">
      <w:pPr>
        <w:pStyle w:val="6"/>
        <w:spacing w:before="156" w:beforeLines="50" w:after="156" w:afterLines="50" w:line="360" w:lineRule="auto"/>
        <w:ind w:firstLine="482" w:firstLineChars="200"/>
        <w:jc w:val="both"/>
        <w:rPr>
          <w:rFonts w:hint="eastAsia" w:asciiTheme="minorEastAsia" w:hAnsiTheme="minorEastAsia" w:eastAsiaTheme="minorEastAsia"/>
          <w:color w:val="auto"/>
          <w:sz w:val="24"/>
          <w:szCs w:val="24"/>
          <w:highlight w:val="none"/>
        </w:rPr>
      </w:pPr>
      <w:bookmarkStart w:id="10" w:name="_Toc474232058"/>
      <w:bookmarkStart w:id="11" w:name="_Toc454182791"/>
      <w:r>
        <w:rPr>
          <w:rFonts w:hint="eastAsia" w:asciiTheme="minorEastAsia" w:hAnsiTheme="minorEastAsia" w:eastAsiaTheme="minorEastAsia"/>
          <w:color w:val="auto"/>
          <w:sz w:val="24"/>
          <w:szCs w:val="24"/>
          <w:highlight w:val="none"/>
        </w:rPr>
        <w:t>（三）项目合作期限：</w:t>
      </w:r>
      <w:bookmarkEnd w:id="10"/>
      <w:bookmarkEnd w:id="11"/>
    </w:p>
    <w:p w14:paraId="751BC1F1">
      <w:pPr>
        <w:spacing w:before="156" w:beforeAutospacing="0" w:after="156" w:afterAutospacing="0" w:line="360" w:lineRule="auto"/>
        <w:ind w:left="69"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2025</w:t>
      </w:r>
      <w:r>
        <w:rPr>
          <w:rFonts w:hint="eastAsia" w:asciiTheme="minorEastAsia" w:hAnsiTheme="minorEastAsia" w:eastAsiaTheme="minorEastAsia"/>
          <w:color w:val="auto"/>
          <w:sz w:val="24"/>
          <w:highlight w:val="none"/>
          <w:lang w:val="en-US" w:eastAsia="zh-CN"/>
        </w:rPr>
        <w:t>-2026</w:t>
      </w:r>
      <w:r>
        <w:rPr>
          <w:rFonts w:hint="eastAsia" w:asciiTheme="minorEastAsia" w:hAnsiTheme="minorEastAsia" w:eastAsiaTheme="minorEastAsia"/>
          <w:color w:val="auto"/>
          <w:sz w:val="24"/>
          <w:highlight w:val="none"/>
        </w:rPr>
        <w:t>年度（招标单位可以根据实际情况与中标单位自动续期一年）。</w:t>
      </w:r>
    </w:p>
    <w:p w14:paraId="44EC1EE1">
      <w:pPr>
        <w:pStyle w:val="6"/>
        <w:spacing w:before="156" w:beforeLines="50" w:after="156" w:afterLines="50" w:line="360" w:lineRule="auto"/>
        <w:ind w:firstLine="482" w:firstLineChars="200"/>
        <w:jc w:val="both"/>
        <w:rPr>
          <w:rFonts w:hint="eastAsia" w:asciiTheme="minorEastAsia" w:hAnsiTheme="minorEastAsia" w:eastAsiaTheme="minorEastAsia"/>
          <w:color w:val="auto"/>
          <w:sz w:val="24"/>
          <w:szCs w:val="24"/>
          <w:highlight w:val="none"/>
        </w:rPr>
      </w:pPr>
      <w:bookmarkStart w:id="12" w:name="_Toc454182792"/>
      <w:bookmarkStart w:id="13" w:name="_Toc474232059"/>
      <w:r>
        <w:rPr>
          <w:rFonts w:hint="eastAsia" w:asciiTheme="minorEastAsia" w:hAnsiTheme="minorEastAsia" w:eastAsiaTheme="minorEastAsia"/>
          <w:color w:val="auto"/>
          <w:sz w:val="24"/>
          <w:szCs w:val="24"/>
          <w:highlight w:val="none"/>
        </w:rPr>
        <w:t>（四）</w:t>
      </w:r>
      <w:r>
        <w:rPr>
          <w:rFonts w:asciiTheme="minorEastAsia" w:hAnsiTheme="minorEastAsia" w:eastAsiaTheme="minorEastAsia"/>
          <w:color w:val="auto"/>
          <w:sz w:val="24"/>
          <w:szCs w:val="24"/>
          <w:highlight w:val="none"/>
        </w:rPr>
        <w:t>招标要求及服务内容</w:t>
      </w:r>
    </w:p>
    <w:p w14:paraId="31697FF8">
      <w:pPr>
        <w:pStyle w:val="7"/>
        <w:spacing w:line="360" w:lineRule="auto"/>
        <w:ind w:firstLine="480" w:firstLineChars="200"/>
        <w:rPr>
          <w:rFonts w:hint="eastAsia"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szCs w:val="24"/>
          <w:highlight w:val="none"/>
        </w:rPr>
        <w:t>1、</w:t>
      </w:r>
      <w:r>
        <w:rPr>
          <w:rFonts w:hint="eastAsia" w:asciiTheme="minorEastAsia" w:hAnsiTheme="minorEastAsia" w:eastAsiaTheme="minorEastAsia"/>
          <w:bCs/>
          <w:color w:val="auto"/>
          <w:sz w:val="24"/>
          <w:szCs w:val="24"/>
          <w:highlight w:val="none"/>
        </w:rPr>
        <w:t>招标单位</w:t>
      </w:r>
      <w:r>
        <w:rPr>
          <w:rFonts w:asciiTheme="minorEastAsia" w:hAnsiTheme="minorEastAsia" w:eastAsiaTheme="minorEastAsia"/>
          <w:bCs/>
          <w:color w:val="auto"/>
          <w:sz w:val="24"/>
          <w:szCs w:val="24"/>
          <w:highlight w:val="none"/>
        </w:rPr>
        <w:t>提供</w:t>
      </w:r>
      <w:r>
        <w:rPr>
          <w:rFonts w:hint="eastAsia" w:asciiTheme="minorEastAsia" w:hAnsiTheme="minorEastAsia" w:eastAsiaTheme="minorEastAsia"/>
          <w:bCs/>
          <w:color w:val="auto"/>
          <w:sz w:val="24"/>
          <w:szCs w:val="24"/>
          <w:highlight w:val="none"/>
        </w:rPr>
        <w:t>废屑临时存放场地，其他加工、运输等设备设施由投标人负责，因临时存放场地有限，每10-15天需清运一次废屑，洒落在地面的废屑必须清理干净</w:t>
      </w:r>
      <w:r>
        <w:rPr>
          <w:rFonts w:asciiTheme="minorEastAsia" w:hAnsiTheme="minorEastAsia" w:eastAsiaTheme="minorEastAsia"/>
          <w:bCs/>
          <w:color w:val="auto"/>
          <w:sz w:val="24"/>
          <w:szCs w:val="24"/>
          <w:highlight w:val="none"/>
        </w:rPr>
        <w:t>。</w:t>
      </w:r>
    </w:p>
    <w:p w14:paraId="375F2BF4">
      <w:pPr>
        <w:pStyle w:val="7"/>
        <w:spacing w:line="360" w:lineRule="auto"/>
        <w:ind w:firstLine="480" w:firstLineChars="200"/>
        <w:rPr>
          <w:rFonts w:hint="eastAsia"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szCs w:val="24"/>
          <w:highlight w:val="none"/>
        </w:rPr>
        <w:t>2、</w:t>
      </w:r>
      <w:r>
        <w:rPr>
          <w:rFonts w:hint="eastAsia" w:asciiTheme="minorEastAsia" w:hAnsiTheme="minorEastAsia" w:eastAsiaTheme="minorEastAsia"/>
          <w:bCs/>
          <w:color w:val="auto"/>
          <w:sz w:val="24"/>
          <w:szCs w:val="24"/>
          <w:highlight w:val="none"/>
        </w:rPr>
        <w:t>现场水电费用由招标人负责，费用列入投标人投标价格中</w:t>
      </w:r>
      <w:r>
        <w:rPr>
          <w:rFonts w:asciiTheme="minorEastAsia" w:hAnsiTheme="minorEastAsia" w:eastAsiaTheme="minorEastAsia"/>
          <w:bCs/>
          <w:color w:val="auto"/>
          <w:sz w:val="24"/>
          <w:szCs w:val="24"/>
          <w:highlight w:val="none"/>
        </w:rPr>
        <w:t>。</w:t>
      </w:r>
    </w:p>
    <w:p w14:paraId="592607D4">
      <w:pPr>
        <w:pStyle w:val="7"/>
        <w:spacing w:line="360" w:lineRule="auto"/>
        <w:ind w:firstLineChars="200"/>
        <w:rPr>
          <w:rFonts w:hint="eastAsia" w:asciiTheme="minorEastAsia" w:hAnsiTheme="minorEastAsia" w:eastAsiaTheme="minorEastAsia"/>
          <w:bCs/>
          <w:color w:val="auto"/>
          <w:sz w:val="24"/>
          <w:szCs w:val="24"/>
          <w:highlight w:val="none"/>
        </w:rPr>
      </w:pPr>
      <w:r>
        <w:rPr>
          <w:rFonts w:hint="eastAsia" w:ascii="宋体" w:hAnsi="宋体"/>
          <w:bCs/>
          <w:color w:val="auto"/>
          <w:szCs w:val="24"/>
          <w:highlight w:val="none"/>
        </w:rPr>
        <w:t>*</w:t>
      </w:r>
      <w:r>
        <w:rPr>
          <w:rFonts w:asciiTheme="minorEastAsia" w:hAnsiTheme="minorEastAsia" w:eastAsiaTheme="minorEastAsia"/>
          <w:bCs/>
          <w:color w:val="auto"/>
          <w:sz w:val="24"/>
          <w:szCs w:val="24"/>
          <w:highlight w:val="none"/>
        </w:rPr>
        <w:t>3、</w:t>
      </w:r>
      <w:r>
        <w:rPr>
          <w:rFonts w:hint="eastAsia" w:asciiTheme="minorEastAsia" w:hAnsiTheme="minorEastAsia" w:eastAsiaTheme="minorEastAsia"/>
          <w:bCs/>
          <w:color w:val="auto"/>
          <w:sz w:val="24"/>
          <w:szCs w:val="24"/>
          <w:highlight w:val="none"/>
        </w:rPr>
        <w:t>中标人中标后必须同时免费为招标人合法合规处理厂区内产生的生活垃圾与工业垃圾（不含危废物资），投标人无生活垃圾与工业垃圾处理资质的，应委托有资质的第三方进行处理，投标时应提供资质证明文件，中标后签订三方协议，每月产生数量具体以实际为准。未按甲方要求及时清运的，由招标人进行清理，费用在履约保证金中扣除</w:t>
      </w:r>
      <w:r>
        <w:rPr>
          <w:rFonts w:asciiTheme="minorEastAsia" w:hAnsiTheme="minorEastAsia" w:eastAsiaTheme="minorEastAsia"/>
          <w:bCs/>
          <w:color w:val="auto"/>
          <w:sz w:val="24"/>
          <w:szCs w:val="24"/>
          <w:highlight w:val="none"/>
        </w:rPr>
        <w:t>。</w:t>
      </w:r>
    </w:p>
    <w:p w14:paraId="23074834">
      <w:pPr>
        <w:pStyle w:val="7"/>
        <w:spacing w:line="360" w:lineRule="auto"/>
        <w:ind w:firstLine="480" w:firstLineChars="200"/>
        <w:rPr>
          <w:rFonts w:hint="eastAsia"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szCs w:val="24"/>
          <w:highlight w:val="none"/>
        </w:rPr>
        <w:t>4、中标人工作人员由中标人自行管理，福利待遇、人员培训、体检、丧残疾病、</w:t>
      </w:r>
      <w:r>
        <w:rPr>
          <w:rFonts w:hint="eastAsia" w:asciiTheme="minorEastAsia" w:hAnsiTheme="minorEastAsia" w:eastAsiaTheme="minorEastAsia"/>
          <w:bCs/>
          <w:color w:val="auto"/>
          <w:sz w:val="24"/>
          <w:szCs w:val="24"/>
          <w:highlight w:val="none"/>
        </w:rPr>
        <w:t>工伤</w:t>
      </w:r>
      <w:r>
        <w:rPr>
          <w:rFonts w:asciiTheme="minorEastAsia" w:hAnsiTheme="minorEastAsia" w:eastAsiaTheme="minorEastAsia"/>
          <w:bCs/>
          <w:color w:val="auto"/>
          <w:sz w:val="24"/>
          <w:szCs w:val="24"/>
          <w:highlight w:val="none"/>
        </w:rPr>
        <w:t>等所有费用均由中标人自行承担。</w:t>
      </w:r>
    </w:p>
    <w:p w14:paraId="6969B3DA">
      <w:pPr>
        <w:pStyle w:val="7"/>
        <w:spacing w:line="360" w:lineRule="auto"/>
        <w:ind w:firstLine="480" w:firstLineChars="200"/>
        <w:rPr>
          <w:rFonts w:hint="eastAsia" w:asciiTheme="minorEastAsia" w:hAnsiTheme="minorEastAsia" w:eastAsiaTheme="minorEastAsia"/>
          <w:bCs/>
          <w:color w:val="auto"/>
          <w:sz w:val="24"/>
          <w:szCs w:val="24"/>
          <w:highlight w:val="none"/>
        </w:rPr>
      </w:pPr>
      <w:r>
        <w:rPr>
          <w:rFonts w:asciiTheme="minorEastAsia" w:hAnsiTheme="minorEastAsia" w:eastAsiaTheme="minorEastAsia"/>
          <w:bCs/>
          <w:color w:val="auto"/>
          <w:sz w:val="24"/>
          <w:szCs w:val="24"/>
          <w:highlight w:val="none"/>
        </w:rPr>
        <w:t>5、</w:t>
      </w:r>
      <w:r>
        <w:rPr>
          <w:rFonts w:hint="eastAsia" w:asciiTheme="minorEastAsia" w:hAnsiTheme="minorEastAsia" w:eastAsiaTheme="minorEastAsia"/>
          <w:bCs/>
          <w:color w:val="auto"/>
          <w:sz w:val="24"/>
          <w:szCs w:val="24"/>
          <w:highlight w:val="none"/>
        </w:rPr>
        <w:t>中标人工作人员进入厂区必须遵守招标人的管理制度，只能在其工作区域内活动，未经允许不得进入厂区其他区域，服从招标人的监督与管理。</w:t>
      </w:r>
    </w:p>
    <w:p w14:paraId="17259E8B">
      <w:pPr>
        <w:pStyle w:val="6"/>
        <w:spacing w:before="156" w:beforeLines="50" w:after="156" w:afterLines="50" w:line="360" w:lineRule="auto"/>
        <w:ind w:firstLine="482" w:firstLineChars="200"/>
        <w:jc w:val="both"/>
        <w:rPr>
          <w:rFonts w:hint="eastAsia" w:cs="楷体_GB2312" w:asciiTheme="minorEastAsia" w:hAnsiTheme="minorEastAsia" w:eastAsiaTheme="minorEastAsia"/>
          <w:bCs/>
          <w:color w:val="auto"/>
          <w:sz w:val="24"/>
          <w:szCs w:val="24"/>
          <w:highlight w:val="none"/>
        </w:rPr>
      </w:pPr>
      <w:r>
        <w:rPr>
          <w:rFonts w:hint="eastAsia" w:cs="楷体_GB2312" w:asciiTheme="minorEastAsia" w:hAnsiTheme="minorEastAsia" w:eastAsiaTheme="minorEastAsia"/>
          <w:bCs/>
          <w:color w:val="auto"/>
          <w:sz w:val="24"/>
          <w:szCs w:val="24"/>
          <w:highlight w:val="none"/>
        </w:rPr>
        <w:t>（五）安全、环保要求</w:t>
      </w:r>
    </w:p>
    <w:p w14:paraId="19400700">
      <w:pPr>
        <w:pStyle w:val="30"/>
        <w:spacing w:line="360" w:lineRule="auto"/>
        <w:ind w:left="69" w:firstLine="40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中标人处理铁屑、钢屑、铝屑等废旧物资、生活垃圾、工业垃圾及处理过程中产生的其他废物必须满足国家各级法律法规的安全、环保方面要求。</w:t>
      </w:r>
    </w:p>
    <w:p w14:paraId="48594FEF">
      <w:pPr>
        <w:pStyle w:val="30"/>
        <w:spacing w:line="360" w:lineRule="auto"/>
        <w:ind w:left="69" w:firstLine="4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2、因中标人原因造成安全、环保事故或被上级部门处罚的，由中标人自行负责，对招标人造成影响或损失的，由中标人承担相应的赔偿责任。</w:t>
      </w:r>
    </w:p>
    <w:p w14:paraId="255C61DC">
      <w:pPr>
        <w:pStyle w:val="30"/>
        <w:spacing w:line="360" w:lineRule="auto"/>
        <w:ind w:left="69" w:firstLine="4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3、中标人应服从厂区安全、环保管理要求，遵守厂区安全、环保方面的管理制度，并签订安全、环保责任状。</w:t>
      </w:r>
    </w:p>
    <w:bookmarkEnd w:id="12"/>
    <w:bookmarkEnd w:id="13"/>
    <w:p w14:paraId="64230D2F">
      <w:pPr>
        <w:widowControl/>
        <w:spacing w:before="0" w:beforeAutospacing="0" w:after="0" w:afterAutospacing="0" w:line="360" w:lineRule="auto"/>
        <w:ind w:left="0" w:left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kern w:val="0"/>
          <w:sz w:val="24"/>
          <w:highlight w:val="none"/>
        </w:rPr>
        <w:t>二、</w:t>
      </w:r>
      <w:r>
        <w:rPr>
          <w:rFonts w:hint="eastAsia" w:asciiTheme="minorEastAsia" w:hAnsiTheme="minorEastAsia" w:eastAsiaTheme="minorEastAsia"/>
          <w:b/>
          <w:color w:val="auto"/>
          <w:sz w:val="24"/>
          <w:highlight w:val="none"/>
          <w:u w:val="single"/>
        </w:rPr>
        <w:t>投标人资质与商务要求</w:t>
      </w:r>
    </w:p>
    <w:p w14:paraId="2FBDC33B">
      <w:pPr>
        <w:widowControl/>
        <w:spacing w:before="0" w:beforeAutospacing="0" w:after="0" w:afterAutospacing="0" w:line="360" w:lineRule="auto"/>
        <w:ind w:left="69" w:firstLine="480" w:firstLineChars="200"/>
        <w:rPr>
          <w:rFonts w:hint="eastAsia"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rPr>
        <w:t>、投标人应是在中华人民共和国境内的企业法人，具有废旧物资经营资质。</w:t>
      </w:r>
    </w:p>
    <w:p w14:paraId="1DF76B47">
      <w:pPr>
        <w:widowControl/>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2、注册资金500万元（含本数）以上。</w:t>
      </w:r>
    </w:p>
    <w:p w14:paraId="37DB4927">
      <w:pPr>
        <w:widowControl/>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、中标人在厂区内应服从招标人的监督与管理。</w:t>
      </w:r>
    </w:p>
    <w:p w14:paraId="72922625">
      <w:pPr>
        <w:widowControl/>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rPr>
        <w:t>、中标人要有相应的操作规范（管理方案），并严格遵守该操作规范（作为合同附件），同时做出免费处理生活垃圾、工业垃圾的书面承诺</w:t>
      </w:r>
      <w:r>
        <w:rPr>
          <w:rFonts w:hint="eastAsia" w:asciiTheme="minorEastAsia" w:hAnsiTheme="minorEastAsia" w:eastAsiaTheme="minorEastAsia"/>
          <w:color w:val="auto"/>
          <w:sz w:val="24"/>
          <w:highlight w:val="none"/>
        </w:rPr>
        <w:t>。</w:t>
      </w:r>
    </w:p>
    <w:p w14:paraId="6BCE567F">
      <w:pPr>
        <w:widowControl/>
        <w:spacing w:before="0" w:beforeAutospacing="0" w:after="0" w:afterAutospacing="0" w:line="360" w:lineRule="auto"/>
        <w:ind w:left="69" w:firstLine="482"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5、存在以下情形的企业或个人不能参加竞争投标：</w:t>
      </w:r>
      <w:r>
        <w:rPr>
          <w:rFonts w:hint="eastAsia" w:asciiTheme="minorEastAsia" w:hAnsiTheme="minorEastAsia" w:eastAsiaTheme="minorEastAsia"/>
          <w:color w:val="auto"/>
          <w:sz w:val="24"/>
          <w:highlight w:val="none"/>
        </w:rPr>
        <w:t>与国贸控股、海翼集团及所属企业有诉讼或纠纷未解决的；在全国企业信用信息公示系统上存在不良信用记录的；被列入厦门市国有企业或海翼集团相关信用体系负面名单；被列入失信被执行人名单、征信报告有不良记录及其他不良情形。</w:t>
      </w:r>
    </w:p>
    <w:p w14:paraId="65D9261E">
      <w:pPr>
        <w:autoSpaceDE w:val="0"/>
        <w:autoSpaceDN w:val="0"/>
        <w:adjustRightInd w:val="0"/>
        <w:spacing w:before="0" w:beforeAutospacing="0" w:after="0" w:afterAutospacing="0" w:line="360" w:lineRule="auto"/>
        <w:ind w:left="2" w:leftChars="1" w:firstLine="480" w:firstLineChars="200"/>
        <w:rPr>
          <w:rFonts w:hint="eastAsia" w:cs="Arial"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cs="宋体" w:asciiTheme="minorEastAsia" w:hAnsiTheme="minorEastAsia" w:eastAsiaTheme="minorEastAsia"/>
          <w:color w:val="auto"/>
          <w:sz w:val="24"/>
          <w:highlight w:val="none"/>
        </w:rPr>
        <w:t>、</w:t>
      </w:r>
      <w:r>
        <w:rPr>
          <w:rFonts w:hint="eastAsia" w:cs="Arial" w:asciiTheme="minorEastAsia" w:hAnsiTheme="minorEastAsia" w:eastAsiaTheme="minorEastAsia"/>
          <w:color w:val="auto"/>
          <w:sz w:val="24"/>
          <w:highlight w:val="none"/>
        </w:rPr>
        <w:t>本次的招标项目，参加投标的单位可于2025年9月13日</w:t>
      </w:r>
      <w:r>
        <w:rPr>
          <w:rFonts w:cs="Arial" w:asciiTheme="minorEastAsia" w:hAnsiTheme="minorEastAsia" w:eastAsiaTheme="minorEastAsia"/>
          <w:color w:val="auto"/>
          <w:sz w:val="24"/>
          <w:highlight w:val="none"/>
        </w:rPr>
        <w:t>12</w:t>
      </w:r>
      <w:r>
        <w:rPr>
          <w:rFonts w:hint="eastAsia" w:cs="Arial" w:asciiTheme="minorEastAsia" w:hAnsiTheme="minorEastAsia" w:eastAsiaTheme="minorEastAsia"/>
          <w:color w:val="auto"/>
          <w:sz w:val="24"/>
          <w:highlight w:val="none"/>
        </w:rPr>
        <w:t>:00前</w:t>
      </w:r>
      <w:r>
        <w:rPr>
          <w:rFonts w:cs="Arial" w:asciiTheme="minorEastAsia" w:hAnsiTheme="minorEastAsia" w:eastAsiaTheme="minorEastAsia"/>
          <w:color w:val="auto"/>
          <w:sz w:val="24"/>
          <w:highlight w:val="none"/>
        </w:rPr>
        <w:t>到四川长江液压件有限责任公司</w:t>
      </w:r>
      <w:r>
        <w:rPr>
          <w:rFonts w:hint="eastAsia" w:cs="Arial" w:asciiTheme="minorEastAsia" w:hAnsiTheme="minorEastAsia" w:eastAsiaTheme="minorEastAsia"/>
          <w:color w:val="auto"/>
          <w:sz w:val="24"/>
          <w:highlight w:val="none"/>
        </w:rPr>
        <w:t>进行现场踏勘，对废屑的加工数量、情况与场所进行了解，以获取有关编制投标文件和签署合同所需了解的全部情况。届时招标人将为所有拟投标人现场勘察提供方便。提供的有关现场的资料和数据</w:t>
      </w:r>
      <w:r>
        <w:rPr>
          <w:rFonts w:cs="Arial" w:asciiTheme="minorEastAsia" w:hAnsiTheme="minorEastAsia" w:eastAsiaTheme="minorEastAsia"/>
          <w:color w:val="auto"/>
          <w:sz w:val="24"/>
          <w:highlight w:val="none"/>
        </w:rPr>
        <w:t xml:space="preserve">,是招标人现有的能被拟投标人利用的资料,招标人对拟投标人做出的任何推论、理解和结论均不负责任。但现场勘察所发生的费用（包括但不局限于交通费等）由投标人自己承担。 </w:t>
      </w:r>
    </w:p>
    <w:p w14:paraId="569840F6">
      <w:pPr>
        <w:autoSpaceDE w:val="0"/>
        <w:autoSpaceDN w:val="0"/>
        <w:adjustRightInd w:val="0"/>
        <w:spacing w:before="0" w:beforeAutospacing="0" w:after="0" w:afterAutospacing="0" w:line="360" w:lineRule="auto"/>
        <w:ind w:left="2" w:leftChars="1" w:firstLine="480" w:firstLineChars="200"/>
        <w:rPr>
          <w:rFonts w:hint="eastAsia" w:cs="Arial" w:asciiTheme="minorEastAsia" w:hAnsiTheme="minorEastAsia" w:eastAsiaTheme="minorEastAsia"/>
          <w:b/>
          <w:color w:val="auto"/>
          <w:sz w:val="24"/>
          <w:highlight w:val="none"/>
        </w:rPr>
      </w:pPr>
      <w:r>
        <w:rPr>
          <w:rFonts w:hint="eastAsia" w:cs="Arial" w:asciiTheme="minorEastAsia" w:hAnsiTheme="minorEastAsia" w:eastAsiaTheme="minorEastAsia"/>
          <w:color w:val="auto"/>
          <w:sz w:val="24"/>
          <w:highlight w:val="none"/>
        </w:rPr>
        <w:t>7</w:t>
      </w:r>
      <w:r>
        <w:rPr>
          <w:rFonts w:cs="Arial" w:asciiTheme="minorEastAsia" w:hAnsiTheme="minorEastAsia" w:eastAsiaTheme="minorEastAsia"/>
          <w:color w:val="auto"/>
          <w:sz w:val="24"/>
          <w:highlight w:val="none"/>
        </w:rPr>
        <w:t>.现场</w:t>
      </w:r>
      <w:r>
        <w:rPr>
          <w:rFonts w:hint="eastAsia" w:cs="Arial" w:asciiTheme="minorEastAsia" w:hAnsiTheme="minorEastAsia" w:eastAsiaTheme="minorEastAsia"/>
          <w:color w:val="auto"/>
          <w:sz w:val="24"/>
          <w:highlight w:val="none"/>
        </w:rPr>
        <w:t>勘察</w:t>
      </w:r>
      <w:r>
        <w:rPr>
          <w:rFonts w:cs="Arial" w:asciiTheme="minorEastAsia" w:hAnsiTheme="minorEastAsia" w:eastAsiaTheme="minorEastAsia"/>
          <w:color w:val="auto"/>
          <w:sz w:val="24"/>
          <w:highlight w:val="none"/>
        </w:rPr>
        <w:t>联系人：</w:t>
      </w:r>
      <w:r>
        <w:rPr>
          <w:rFonts w:hint="eastAsia" w:cs="Arial" w:asciiTheme="minorEastAsia" w:hAnsiTheme="minorEastAsia" w:eastAsiaTheme="minorEastAsia"/>
          <w:color w:val="auto"/>
          <w:sz w:val="24"/>
          <w:highlight w:val="none"/>
        </w:rPr>
        <w:t>胡先生电话：</w:t>
      </w:r>
      <w:r>
        <w:rPr>
          <w:rFonts w:hint="eastAsia" w:asciiTheme="minorEastAsia" w:hAnsiTheme="minorEastAsia" w:eastAsiaTheme="minorEastAsia"/>
          <w:color w:val="auto"/>
          <w:sz w:val="24"/>
          <w:highlight w:val="none"/>
        </w:rPr>
        <w:t>15082078020</w:t>
      </w:r>
    </w:p>
    <w:p w14:paraId="2A010512">
      <w:pPr>
        <w:spacing w:before="0" w:beforeAutospacing="0" w:after="0" w:afterAutospacing="0" w:line="360" w:lineRule="auto"/>
        <w:ind w:left="31" w:leftChars="15"/>
        <w:rPr>
          <w:rFonts w:hint="eastAsia" w:cs="Arial"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w:t>
      </w:r>
      <w:r>
        <w:rPr>
          <w:rFonts w:hint="eastAsia" w:cs="Arial" w:asciiTheme="minorEastAsia" w:hAnsiTheme="minorEastAsia" w:eastAsiaTheme="minorEastAsia"/>
          <w:b/>
          <w:color w:val="auto"/>
          <w:sz w:val="24"/>
          <w:highlight w:val="none"/>
        </w:rPr>
        <w:t>、证明文件：</w:t>
      </w:r>
    </w:p>
    <w:p w14:paraId="042C4601">
      <w:pPr>
        <w:pStyle w:val="9"/>
        <w:spacing w:line="360" w:lineRule="auto"/>
        <w:ind w:firstLine="482" w:firstLineChars="200"/>
        <w:jc w:val="left"/>
        <w:rPr>
          <w:rFonts w:hint="eastAsia" w:asciiTheme="minorEastAsia" w:hAnsiTheme="minorEastAsia" w:eastAsiaTheme="minorEastAsia"/>
          <w:b/>
          <w:color w:val="auto"/>
          <w:sz w:val="24"/>
          <w:szCs w:val="24"/>
          <w:highlight w:val="none"/>
        </w:rPr>
      </w:pPr>
      <w:r>
        <w:rPr>
          <w:rFonts w:cs="Arial" w:asciiTheme="minorEastAsia" w:hAnsiTheme="minorEastAsia" w:eastAsiaTheme="minorEastAsia"/>
          <w:b/>
          <w:color w:val="auto"/>
          <w:sz w:val="24"/>
          <w:szCs w:val="24"/>
          <w:highlight w:val="none"/>
        </w:rPr>
        <w:t>*</w:t>
      </w:r>
      <w:r>
        <w:rPr>
          <w:rFonts w:asciiTheme="minorEastAsia" w:hAnsiTheme="minorEastAsia" w:eastAsiaTheme="minorEastAsia"/>
          <w:b/>
          <w:color w:val="auto"/>
          <w:sz w:val="24"/>
          <w:szCs w:val="24"/>
          <w:highlight w:val="none"/>
        </w:rPr>
        <w:t>1、提供营业执照，加盖投标人公章。</w:t>
      </w:r>
    </w:p>
    <w:p w14:paraId="31864C43">
      <w:pPr>
        <w:spacing w:before="0" w:beforeAutospacing="0" w:after="0" w:afterAutospacing="0" w:line="360" w:lineRule="auto"/>
        <w:ind w:left="0" w:leftChars="0" w:firstLine="600" w:firstLineChars="249"/>
        <w:rPr>
          <w:rFonts w:hint="eastAsia" w:cs="Arial"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2、</w:t>
      </w:r>
      <w:r>
        <w:rPr>
          <w:rFonts w:hint="eastAsia" w:cs="Arial" w:asciiTheme="minorEastAsia" w:hAnsiTheme="minorEastAsia" w:eastAsiaTheme="minorEastAsia"/>
          <w:b/>
          <w:bCs/>
          <w:color w:val="auto"/>
          <w:sz w:val="24"/>
          <w:highlight w:val="none"/>
        </w:rPr>
        <w:t>投标</w:t>
      </w:r>
      <w:r>
        <w:rPr>
          <w:rFonts w:hint="eastAsia" w:cs="Arial" w:asciiTheme="minorEastAsia" w:hAnsiTheme="minorEastAsia" w:eastAsiaTheme="minorEastAsia"/>
          <w:b/>
          <w:color w:val="auto"/>
          <w:sz w:val="24"/>
          <w:highlight w:val="none"/>
        </w:rPr>
        <w:t>人废旧物资经营经验（须提供相关证明文件复印件，并加盖公章）。</w:t>
      </w:r>
    </w:p>
    <w:p w14:paraId="08286D27">
      <w:pPr>
        <w:spacing w:before="0" w:beforeAutospacing="0" w:after="0" w:afterAutospacing="0" w:line="360" w:lineRule="auto"/>
        <w:ind w:left="31" w:leftChars="15" w:firstLine="482" w:firstLineChars="200"/>
        <w:rPr>
          <w:rFonts w:hint="eastAsia"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*3、</w:t>
      </w:r>
      <w:r>
        <w:rPr>
          <w:rFonts w:hint="eastAsia" w:cs="Arial" w:asciiTheme="minorEastAsia" w:hAnsiTheme="minorEastAsia" w:eastAsiaTheme="minorEastAsia"/>
          <w:b/>
          <w:bCs/>
          <w:color w:val="auto"/>
          <w:sz w:val="24"/>
          <w:highlight w:val="none"/>
        </w:rPr>
        <w:t>投标</w:t>
      </w:r>
      <w:r>
        <w:rPr>
          <w:rFonts w:hint="eastAsia" w:cs="Arial" w:asciiTheme="minorEastAsia" w:hAnsiTheme="minorEastAsia" w:eastAsiaTheme="minorEastAsia"/>
          <w:b/>
          <w:color w:val="auto"/>
          <w:sz w:val="24"/>
          <w:highlight w:val="none"/>
        </w:rPr>
        <w:t>人全权代表若不是企业法定代表人，应提供企业法人的授权书原件，并提供</w:t>
      </w:r>
      <w:r>
        <w:rPr>
          <w:rFonts w:hint="eastAsia" w:asciiTheme="minorEastAsia" w:hAnsiTheme="minorEastAsia" w:eastAsiaTheme="minorEastAsia"/>
          <w:b/>
          <w:color w:val="auto"/>
          <w:sz w:val="24"/>
          <w:highlight w:val="none"/>
        </w:rPr>
        <w:t>被授权代表身份证复印件。</w:t>
      </w:r>
    </w:p>
    <w:p w14:paraId="11F0173C">
      <w:pPr>
        <w:spacing w:before="0" w:beforeAutospacing="0" w:after="0" w:afterAutospacing="0" w:line="360" w:lineRule="auto"/>
        <w:ind w:left="31" w:leftChars="15" w:firstLine="482" w:firstLineChars="200"/>
        <w:rPr>
          <w:rFonts w:hint="eastAsia" w:asciiTheme="minorEastAsia" w:hAnsiTheme="minorEastAsia" w:eastAsiaTheme="minorEastAsia"/>
          <w:b/>
          <w:color w:val="auto"/>
          <w:sz w:val="24"/>
          <w:highlight w:val="none"/>
        </w:rPr>
      </w:pPr>
      <w:r>
        <w:rPr>
          <w:rFonts w:cs="Arial" w:asciiTheme="minorEastAsia" w:hAnsiTheme="minorEastAsia" w:eastAsiaTheme="minorEastAsia"/>
          <w:b/>
          <w:color w:val="auto"/>
          <w:sz w:val="24"/>
          <w:highlight w:val="none"/>
        </w:rPr>
        <w:t>*4</w:t>
      </w:r>
      <w:r>
        <w:rPr>
          <w:rFonts w:hint="eastAsia" w:asciiTheme="minorEastAsia" w:hAnsiTheme="minorEastAsia" w:eastAsiaTheme="minorEastAsia"/>
          <w:b/>
          <w:color w:val="auto"/>
          <w:sz w:val="24"/>
          <w:highlight w:val="none"/>
        </w:rPr>
        <w:t>、本项目不接受联合体投标。</w:t>
      </w:r>
    </w:p>
    <w:p w14:paraId="019B3EEE">
      <w:pPr>
        <w:spacing w:before="0" w:beforeAutospacing="0" w:after="0" w:afterAutospacing="0" w:line="360" w:lineRule="auto"/>
        <w:ind w:left="31" w:leftChars="15" w:firstLine="482" w:firstLineChars="200"/>
        <w:rPr>
          <w:rFonts w:hint="eastAsia" w:asciiTheme="minorEastAsia" w:hAnsiTheme="minorEastAsia" w:eastAsiaTheme="minorEastAsia"/>
          <w:b/>
          <w:color w:val="auto"/>
          <w:sz w:val="24"/>
          <w:highlight w:val="none"/>
        </w:rPr>
      </w:pPr>
      <w:r>
        <w:rPr>
          <w:rFonts w:cs="Arial" w:asciiTheme="minorEastAsia" w:hAnsiTheme="minorEastAsia" w:eastAsiaTheme="minorEastAsia"/>
          <w:b/>
          <w:color w:val="auto"/>
          <w:sz w:val="24"/>
          <w:highlight w:val="none"/>
        </w:rPr>
        <w:t>*5</w:t>
      </w:r>
      <w:r>
        <w:rPr>
          <w:rFonts w:hint="eastAsia" w:asciiTheme="minorEastAsia" w:hAnsiTheme="minorEastAsia" w:eastAsiaTheme="minorEastAsia"/>
          <w:b/>
          <w:color w:val="auto"/>
          <w:sz w:val="24"/>
          <w:highlight w:val="none"/>
        </w:rPr>
        <w:t>、工业垃圾处理资质（提供第三方资质的，同时，应提供第三方单位相关承诺或证明）</w:t>
      </w:r>
    </w:p>
    <w:p w14:paraId="6E21C686">
      <w:pPr>
        <w:spacing w:before="0" w:beforeAutospacing="0" w:after="0" w:afterAutospacing="0" w:line="360" w:lineRule="auto"/>
        <w:ind w:left="31" w:leftChars="15" w:firstLine="482" w:firstLineChars="200"/>
        <w:rPr>
          <w:rFonts w:hint="eastAsia" w:cs="Arial"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备注：以上证明材料均应加盖</w:t>
      </w:r>
      <w:r>
        <w:rPr>
          <w:rFonts w:hint="eastAsia" w:cs="Arial" w:asciiTheme="minorEastAsia" w:hAnsiTheme="minorEastAsia" w:eastAsiaTheme="minorEastAsia"/>
          <w:b/>
          <w:bCs/>
          <w:color w:val="auto"/>
          <w:sz w:val="24"/>
          <w:highlight w:val="none"/>
        </w:rPr>
        <w:t>投标</w:t>
      </w:r>
      <w:r>
        <w:rPr>
          <w:rFonts w:hint="eastAsia" w:cs="Arial" w:asciiTheme="minorEastAsia" w:hAnsiTheme="minorEastAsia" w:eastAsiaTheme="minorEastAsia"/>
          <w:b/>
          <w:color w:val="auto"/>
          <w:sz w:val="24"/>
          <w:highlight w:val="none"/>
        </w:rPr>
        <w:t>人公章，并原件备查。</w:t>
      </w:r>
    </w:p>
    <w:p w14:paraId="20CA055B">
      <w:pPr>
        <w:spacing w:before="0" w:beforeAutospacing="0" w:after="0" w:afterAutospacing="0" w:line="360" w:lineRule="auto"/>
        <w:ind w:left="69" w:firstLine="482" w:firstLineChars="200"/>
        <w:rPr>
          <w:rFonts w:hint="eastAsia" w:cs="Arial"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w:t>
      </w:r>
      <w:r>
        <w:rPr>
          <w:rFonts w:hint="eastAsia" w:cs="Arial" w:asciiTheme="minorEastAsia" w:hAnsiTheme="minorEastAsia" w:eastAsiaTheme="minorEastAsia"/>
          <w:b/>
          <w:color w:val="auto"/>
          <w:sz w:val="24"/>
          <w:highlight w:val="none"/>
        </w:rPr>
        <w:t>五、报价与付款说明</w:t>
      </w:r>
    </w:p>
    <w:p w14:paraId="013C4583">
      <w:pPr>
        <w:widowControl/>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本项目通过单价形式进行报价，单位为元/吨</w:t>
      </w:r>
      <w:r>
        <w:rPr>
          <w:rFonts w:asciiTheme="minorEastAsia" w:hAnsiTheme="minorEastAsia" w:eastAsiaTheme="minorEastAsia"/>
          <w:color w:val="auto"/>
          <w:sz w:val="24"/>
          <w:highlight w:val="none"/>
        </w:rPr>
        <w:t>。</w:t>
      </w:r>
    </w:p>
    <w:p w14:paraId="004350B7">
      <w:pPr>
        <w:widowControl/>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2、本项目招标底价为</w:t>
      </w:r>
      <w:r>
        <w:rPr>
          <w:rFonts w:asciiTheme="minorEastAsia" w:hAnsiTheme="minorEastAsia" w:eastAsiaTheme="minorEastAsia"/>
          <w:color w:val="auto"/>
          <w:sz w:val="24"/>
          <w:highlight w:val="none"/>
          <w:u w:val="single"/>
        </w:rPr>
        <w:t>铁屑</w:t>
      </w:r>
      <w:r>
        <w:rPr>
          <w:rFonts w:hint="eastAsia" w:asciiTheme="minorEastAsia" w:hAnsiTheme="minorEastAsia" w:eastAsiaTheme="minorEastAsia"/>
          <w:color w:val="auto"/>
          <w:sz w:val="24"/>
          <w:highlight w:val="none"/>
          <w:u w:val="single"/>
        </w:rPr>
        <w:t>1</w:t>
      </w:r>
      <w:r>
        <w:rPr>
          <w:rFonts w:hint="eastAsia" w:asciiTheme="minorEastAsia" w:hAnsiTheme="minorEastAsia" w:eastAsiaTheme="minorEastAsia"/>
          <w:color w:val="auto"/>
          <w:sz w:val="24"/>
          <w:highlight w:val="none"/>
          <w:u w:val="single"/>
          <w:lang w:val="en-US" w:eastAsia="zh-CN"/>
        </w:rPr>
        <w:t>9</w:t>
      </w:r>
      <w:r>
        <w:rPr>
          <w:rFonts w:hint="eastAsia" w:asciiTheme="minorEastAsia" w:hAnsiTheme="minorEastAsia" w:eastAsiaTheme="minorEastAsia"/>
          <w:color w:val="auto"/>
          <w:sz w:val="24"/>
          <w:highlight w:val="none"/>
          <w:u w:val="single"/>
        </w:rPr>
        <w:t>00元</w:t>
      </w:r>
      <w:r>
        <w:rPr>
          <w:rFonts w:asciiTheme="minorEastAsia" w:hAnsiTheme="minorEastAsia" w:eastAsiaTheme="minorEastAsia"/>
          <w:color w:val="auto"/>
          <w:sz w:val="24"/>
          <w:highlight w:val="none"/>
          <w:u w:val="single"/>
        </w:rPr>
        <w:t>/吨</w:t>
      </w:r>
      <w:r>
        <w:rPr>
          <w:rFonts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u w:val="single"/>
        </w:rPr>
        <w:t>钢屑</w:t>
      </w:r>
      <w:r>
        <w:rPr>
          <w:rFonts w:hint="eastAsia" w:asciiTheme="minorEastAsia" w:hAnsiTheme="minorEastAsia" w:eastAsiaTheme="minorEastAsia"/>
          <w:color w:val="auto"/>
          <w:sz w:val="24"/>
          <w:highlight w:val="none"/>
          <w:u w:val="single"/>
          <w:lang w:val="en-US" w:eastAsia="zh-CN"/>
        </w:rPr>
        <w:t>2000</w:t>
      </w:r>
      <w:r>
        <w:rPr>
          <w:rFonts w:hint="eastAsia" w:asciiTheme="minorEastAsia" w:hAnsiTheme="minorEastAsia" w:eastAsiaTheme="minorEastAsia"/>
          <w:color w:val="auto"/>
          <w:sz w:val="24"/>
          <w:highlight w:val="none"/>
          <w:u w:val="single"/>
        </w:rPr>
        <w:t>元</w:t>
      </w:r>
      <w:r>
        <w:rPr>
          <w:rFonts w:asciiTheme="minorEastAsia" w:hAnsiTheme="minorEastAsia" w:eastAsiaTheme="minorEastAsia"/>
          <w:color w:val="auto"/>
          <w:sz w:val="24"/>
          <w:highlight w:val="none"/>
          <w:u w:val="single"/>
        </w:rPr>
        <w:t>/吨</w:t>
      </w:r>
      <w:r>
        <w:rPr>
          <w:rFonts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u w:val="single"/>
        </w:rPr>
        <w:t>铝屑</w:t>
      </w:r>
      <w:r>
        <w:rPr>
          <w:rFonts w:hint="eastAsia" w:asciiTheme="minorEastAsia" w:hAnsiTheme="minorEastAsia" w:eastAsiaTheme="minorEastAsia"/>
          <w:color w:val="auto"/>
          <w:sz w:val="24"/>
          <w:highlight w:val="none"/>
          <w:u w:val="single"/>
        </w:rPr>
        <w:t>13000元</w:t>
      </w:r>
      <w:r>
        <w:rPr>
          <w:rFonts w:asciiTheme="minorEastAsia" w:hAnsiTheme="minorEastAsia" w:eastAsiaTheme="minorEastAsia"/>
          <w:color w:val="auto"/>
          <w:sz w:val="24"/>
          <w:highlight w:val="none"/>
          <w:u w:val="single"/>
        </w:rPr>
        <w:t>/吨</w:t>
      </w:r>
      <w:r>
        <w:rPr>
          <w:rFonts w:hint="eastAsia" w:asciiTheme="minorEastAsia" w:hAnsiTheme="minorEastAsia" w:eastAsiaTheme="minorEastAsia"/>
          <w:color w:val="auto"/>
          <w:sz w:val="24"/>
          <w:highlight w:val="none"/>
        </w:rPr>
        <w:t>，低于招标底价的作为废标处理。</w:t>
      </w:r>
    </w:p>
    <w:p w14:paraId="317C30B5">
      <w:pPr>
        <w:widowControl/>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招标人派人与中标人共同过磅称重，废屑重量按实际计算，中标人自行负责运费</w:t>
      </w:r>
      <w:r>
        <w:rPr>
          <w:rFonts w:asciiTheme="minorEastAsia" w:hAnsiTheme="minorEastAsia" w:eastAsiaTheme="minorEastAsia"/>
          <w:color w:val="auto"/>
          <w:sz w:val="24"/>
          <w:highlight w:val="none"/>
        </w:rPr>
        <w:t>。</w:t>
      </w:r>
    </w:p>
    <w:p w14:paraId="046565E3">
      <w:pPr>
        <w:widowControl/>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、费用每季度（月）进行结算，招标人开票10日内，中标人向招标人结算费用，超过30日未向招标人结算费用的，招标人有权解除合同。</w:t>
      </w:r>
    </w:p>
    <w:p w14:paraId="4102602D">
      <w:pPr>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、为维护招标人与中标人双方的共同利益，当每个季度首月第一天中国钢材价格指数（以钢之家官网数据为准、遇节假日可以提前至假期前一天或延后一天）涨幅超过10</w:t>
      </w:r>
      <w:r>
        <w:rPr>
          <w:rFonts w:asciiTheme="minorEastAsia" w:hAnsiTheme="minorEastAsia" w:eastAsiaTheme="minorEastAsia"/>
          <w:color w:val="auto"/>
          <w:sz w:val="24"/>
          <w:highlight w:val="none"/>
        </w:rPr>
        <w:t>%时</w:t>
      </w:r>
      <w:r>
        <w:rPr>
          <w:rFonts w:hint="eastAsia" w:asciiTheme="minorEastAsia" w:hAnsiTheme="minorEastAsia" w:eastAsiaTheme="minorEastAsia"/>
          <w:color w:val="auto"/>
          <w:sz w:val="24"/>
          <w:highlight w:val="none"/>
        </w:rPr>
        <w:t>［两种指数（分别“点”、“元/吨”为单位）任何一种达到涨幅条件即可］</w:t>
      </w:r>
      <w:r>
        <w:rPr>
          <w:rFonts w:asciiTheme="minorEastAsia" w:hAnsiTheme="minorEastAsia" w:eastAsiaTheme="minorEastAsia"/>
          <w:color w:val="auto"/>
          <w:sz w:val="24"/>
          <w:highlight w:val="none"/>
        </w:rPr>
        <w:t>，合同</w:t>
      </w:r>
      <w:r>
        <w:rPr>
          <w:rFonts w:hint="eastAsia" w:asciiTheme="minorEastAsia" w:hAnsiTheme="minorEastAsia" w:eastAsiaTheme="minorEastAsia"/>
          <w:color w:val="auto"/>
          <w:sz w:val="24"/>
          <w:highlight w:val="none"/>
        </w:rPr>
        <w:t>单价根据涨幅比例进行同比例调整。（以合同签订之日中国钢材价格指数为基准指数）</w:t>
      </w:r>
    </w:p>
    <w:p w14:paraId="1330665B">
      <w:pPr>
        <w:pStyle w:val="7"/>
        <w:spacing w:line="360" w:lineRule="auto"/>
        <w:ind w:firstLine="600" w:firstLineChars="25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6、投标报价明显不符合市场行情，缺乏诚信履约的，将可能导致无效投标。</w:t>
      </w:r>
    </w:p>
    <w:p w14:paraId="42D379E4">
      <w:pPr>
        <w:pStyle w:val="6"/>
        <w:spacing w:before="156" w:beforeLines="50" w:after="156" w:afterLines="50" w:line="360" w:lineRule="auto"/>
        <w:ind w:firstLine="562"/>
        <w:jc w:val="both"/>
        <w:rPr>
          <w:rFonts w:hint="eastAsia" w:cs="Arial" w:asciiTheme="minorEastAsia" w:hAnsiTheme="minorEastAsia" w:eastAsiaTheme="minorEastAsia"/>
          <w:color w:val="auto"/>
          <w:sz w:val="24"/>
          <w:szCs w:val="24"/>
          <w:highlight w:val="none"/>
        </w:rPr>
      </w:pPr>
      <w:bookmarkStart w:id="14" w:name="_Toc393807912"/>
      <w:bookmarkStart w:id="15" w:name="_Toc454182804"/>
      <w:bookmarkStart w:id="16" w:name="_Toc295427770"/>
      <w:bookmarkStart w:id="17" w:name="_Toc474232071"/>
      <w:r>
        <w:rPr>
          <w:rFonts w:asciiTheme="minorEastAsia" w:hAnsiTheme="minorEastAsia" w:eastAsiaTheme="minorEastAsia"/>
          <w:color w:val="auto"/>
          <w:sz w:val="24"/>
          <w:szCs w:val="24"/>
          <w:highlight w:val="none"/>
        </w:rPr>
        <w:t>六</w:t>
      </w:r>
      <w:r>
        <w:rPr>
          <w:rFonts w:hint="eastAsia" w:cs="Arial" w:asciiTheme="minorEastAsia" w:hAnsiTheme="minorEastAsia" w:eastAsiaTheme="minorEastAsia"/>
          <w:color w:val="auto"/>
          <w:sz w:val="24"/>
          <w:szCs w:val="24"/>
          <w:highlight w:val="none"/>
        </w:rPr>
        <w:t>、履约要求及违约责任</w:t>
      </w:r>
      <w:bookmarkEnd w:id="14"/>
      <w:bookmarkEnd w:id="15"/>
      <w:bookmarkEnd w:id="16"/>
      <w:bookmarkEnd w:id="17"/>
    </w:p>
    <w:p w14:paraId="45F7E895">
      <w:pPr>
        <w:pStyle w:val="10"/>
        <w:spacing w:line="360" w:lineRule="auto"/>
        <w:ind w:right="-42" w:firstLine="482"/>
        <w:rPr>
          <w:rFonts w:hint="eastAsia" w:cs="Arial" w:asciiTheme="minorEastAsia" w:hAnsiTheme="minorEastAsia" w:eastAsiaTheme="minorEastAsia"/>
          <w:bCs w:val="0"/>
          <w:color w:val="auto"/>
          <w:szCs w:val="24"/>
          <w:highlight w:val="none"/>
        </w:rPr>
      </w:pPr>
      <w:r>
        <w:rPr>
          <w:rFonts w:cs="Arial" w:asciiTheme="minorEastAsia" w:hAnsiTheme="minorEastAsia" w:eastAsiaTheme="minorEastAsia"/>
          <w:bCs w:val="0"/>
          <w:color w:val="auto"/>
          <w:szCs w:val="24"/>
          <w:highlight w:val="none"/>
        </w:rPr>
        <w:t>1、为保证采购合同有效执行，</w:t>
      </w:r>
      <w:r>
        <w:rPr>
          <w:rFonts w:hint="eastAsia" w:cs="Arial" w:asciiTheme="minorEastAsia" w:hAnsiTheme="minorEastAsia" w:eastAsiaTheme="minorEastAsia"/>
          <w:bCs w:val="0"/>
          <w:color w:val="auto"/>
          <w:szCs w:val="24"/>
          <w:highlight w:val="none"/>
        </w:rPr>
        <w:t>招标单位与中标人签订书面合同后，投标保证金自动转为履约保证金</w:t>
      </w:r>
      <w:r>
        <w:rPr>
          <w:rFonts w:cs="Arial" w:asciiTheme="minorEastAsia" w:hAnsiTheme="minorEastAsia" w:eastAsiaTheme="minorEastAsia"/>
          <w:bCs w:val="0"/>
          <w:color w:val="auto"/>
          <w:szCs w:val="24"/>
          <w:highlight w:val="none"/>
        </w:rPr>
        <w:t>。</w:t>
      </w:r>
    </w:p>
    <w:p w14:paraId="52A28447">
      <w:pPr>
        <w:pStyle w:val="10"/>
        <w:spacing w:line="360" w:lineRule="auto"/>
        <w:rPr>
          <w:rFonts w:hint="eastAsia" w:cs="Arial" w:asciiTheme="minorEastAsia" w:hAnsiTheme="minorEastAsia" w:eastAsiaTheme="minorEastAsia"/>
          <w:bCs w:val="0"/>
          <w:color w:val="auto"/>
          <w:szCs w:val="24"/>
          <w:highlight w:val="none"/>
        </w:rPr>
      </w:pPr>
      <w:r>
        <w:rPr>
          <w:rFonts w:cs="Arial" w:asciiTheme="minorEastAsia" w:hAnsiTheme="minorEastAsia" w:eastAsiaTheme="minorEastAsia"/>
          <w:b w:val="0"/>
          <w:color w:val="auto"/>
          <w:highlight w:val="none"/>
        </w:rPr>
        <w:t>2</w:t>
      </w:r>
      <w:r>
        <w:rPr>
          <w:rFonts w:cs="Arial" w:asciiTheme="minorEastAsia" w:hAnsiTheme="minorEastAsia" w:eastAsiaTheme="minorEastAsia"/>
          <w:bCs w:val="0"/>
          <w:color w:val="auto"/>
          <w:szCs w:val="24"/>
          <w:highlight w:val="none"/>
        </w:rPr>
        <w:t>、在合同期内未出现违约情形，履约保证金在服务期满后</w:t>
      </w:r>
      <w:r>
        <w:rPr>
          <w:rFonts w:hint="eastAsia" w:cs="Arial" w:asciiTheme="minorEastAsia" w:hAnsiTheme="minorEastAsia" w:eastAsiaTheme="minorEastAsia"/>
          <w:bCs w:val="0"/>
          <w:color w:val="auto"/>
          <w:szCs w:val="24"/>
          <w:highlight w:val="none"/>
        </w:rPr>
        <w:t>五个工作日内</w:t>
      </w:r>
      <w:r>
        <w:rPr>
          <w:rFonts w:cs="Arial" w:asciiTheme="minorEastAsia" w:hAnsiTheme="minorEastAsia" w:eastAsiaTheme="minorEastAsia"/>
          <w:bCs w:val="0"/>
          <w:color w:val="auto"/>
          <w:szCs w:val="24"/>
          <w:highlight w:val="none"/>
        </w:rPr>
        <w:t>无息退还。有部分违约情形的，由招标人履约保证金中扣除相应金额的违约金，用以弥补招标人所受损失；有严重违约情形的，</w:t>
      </w:r>
      <w:r>
        <w:rPr>
          <w:rFonts w:hint="eastAsia" w:cs="Arial" w:asciiTheme="minorEastAsia" w:hAnsiTheme="minorEastAsia" w:eastAsiaTheme="minorEastAsia"/>
          <w:bCs w:val="0"/>
          <w:color w:val="auto"/>
          <w:szCs w:val="24"/>
          <w:highlight w:val="none"/>
        </w:rPr>
        <w:t>给招标人造成损失的，需另行支付相应的赔偿，并有权不予退还履约保证金。</w:t>
      </w:r>
    </w:p>
    <w:p w14:paraId="3FB98411">
      <w:pPr>
        <w:spacing w:before="0" w:beforeAutospacing="0" w:after="0" w:afterAutospacing="0" w:line="360" w:lineRule="auto"/>
        <w:ind w:left="69" w:firstLine="482" w:firstLineChars="200"/>
        <w:rPr>
          <w:rFonts w:hint="eastAsia" w:cs="Arial"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七、合同签订</w:t>
      </w:r>
    </w:p>
    <w:p w14:paraId="4B0C45B5">
      <w:pPr>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1、中标公告发布后，中标人应及时领取《中标通知书》。中标人持中标通知书于七个工作日内与招标人签订合同，招标文件、中标人的投标文件均作为合同订立的基础。</w:t>
      </w:r>
    </w:p>
    <w:p w14:paraId="30DB202C">
      <w:pPr>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2、如中标人因自身原因不能按时和招标人签订合同，招标人有权取消其成交资格，由第二中标候选人依次递补，并按有关规定对其进行处罚。</w:t>
      </w:r>
    </w:p>
    <w:p w14:paraId="616E15A5">
      <w:pPr>
        <w:spacing w:before="0" w:beforeAutospacing="0" w:after="0" w:afterAutospacing="0" w:line="360" w:lineRule="auto"/>
        <w:ind w:left="69" w:firstLine="482" w:firstLineChars="200"/>
        <w:rPr>
          <w:rFonts w:hint="eastAsia" w:cs="Arial"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八、其他要求</w:t>
      </w:r>
    </w:p>
    <w:p w14:paraId="574136BA">
      <w:pPr>
        <w:widowControl/>
        <w:spacing w:before="0" w:beforeAutospacing="0" w:after="0" w:afterAutospacing="0" w:line="360" w:lineRule="auto"/>
        <w:ind w:left="69" w:firstLine="482" w:firstLineChars="200"/>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*1、投标有效期必须不少于</w:t>
      </w:r>
      <w:r>
        <w:rPr>
          <w:rFonts w:hint="eastAsia" w:asciiTheme="minorEastAsia" w:hAnsiTheme="minorEastAsia" w:eastAsiaTheme="minorEastAsia"/>
          <w:b/>
          <w:color w:val="auto"/>
          <w:sz w:val="24"/>
          <w:highlight w:val="none"/>
        </w:rPr>
        <w:t>90</w:t>
      </w:r>
      <w:r>
        <w:rPr>
          <w:rFonts w:asciiTheme="minorEastAsia" w:hAnsiTheme="minorEastAsia" w:eastAsiaTheme="minorEastAsia"/>
          <w:b/>
          <w:color w:val="auto"/>
          <w:sz w:val="24"/>
          <w:highlight w:val="none"/>
        </w:rPr>
        <w:t>天。</w:t>
      </w:r>
    </w:p>
    <w:p w14:paraId="7BDD6AF6">
      <w:pPr>
        <w:widowControl/>
        <w:spacing w:before="0" w:beforeAutospacing="0" w:after="0" w:afterAutospacing="0" w:line="360" w:lineRule="auto"/>
        <w:ind w:left="69" w:firstLine="482" w:firstLineChars="200"/>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投标</w:t>
      </w:r>
      <w:r>
        <w:rPr>
          <w:rFonts w:asciiTheme="minorEastAsia" w:hAnsiTheme="minorEastAsia" w:eastAsiaTheme="minorEastAsia"/>
          <w:b/>
          <w:color w:val="auto"/>
          <w:sz w:val="24"/>
          <w:highlight w:val="none"/>
        </w:rPr>
        <w:t>保证金应以汇款、转账两种形式提交，且应在投标截止时间前到账。（不收取现金、现金支票）。</w:t>
      </w:r>
    </w:p>
    <w:p w14:paraId="785D670F">
      <w:pPr>
        <w:widowControl/>
        <w:spacing w:before="0" w:beforeAutospacing="0" w:after="0" w:afterAutospacing="0" w:line="360" w:lineRule="auto"/>
        <w:ind w:left="69"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、投标人若有其它方面的特殊服务及优惠条件，可在投标文件中注明。</w:t>
      </w:r>
    </w:p>
    <w:p w14:paraId="3247A8DB">
      <w:pPr>
        <w:spacing w:before="0" w:beforeAutospacing="0" w:after="0" w:afterAutospacing="0" w:line="360" w:lineRule="auto"/>
        <w:ind w:left="69" w:right="-361" w:rightChars="-172"/>
        <w:rPr>
          <w:rFonts w:hint="eastAsia" w:asciiTheme="minorEastAsia" w:hAnsiTheme="minorEastAsia" w:eastAsiaTheme="minorEastAsia"/>
          <w:color w:val="auto"/>
          <w:sz w:val="24"/>
          <w:highlight w:val="none"/>
        </w:rPr>
        <w:sectPr>
          <w:headerReference r:id="rId15" w:type="default"/>
          <w:footerReference r:id="rId16" w:type="default"/>
          <w:type w:val="nextColumn"/>
          <w:pgSz w:w="11906" w:h="16838"/>
          <w:pgMar w:top="1134" w:right="1134" w:bottom="1134" w:left="1418" w:header="471" w:footer="1156" w:gutter="0"/>
          <w:pgNumType w:start="1"/>
          <w:cols w:space="720" w:num="1"/>
          <w:docGrid w:type="lines" w:linePitch="312" w:charSpace="0"/>
        </w:sectPr>
      </w:pPr>
    </w:p>
    <w:p w14:paraId="02259D86">
      <w:pPr>
        <w:spacing w:line="360" w:lineRule="auto"/>
        <w:ind w:left="69" w:right="-361" w:rightChars="-172"/>
        <w:jc w:val="center"/>
        <w:rPr>
          <w:rFonts w:hint="eastAsia" w:ascii="宋体" w:hAnsi="宋体"/>
          <w:b/>
          <w:bCs/>
          <w:color w:val="auto"/>
          <w:sz w:val="36"/>
          <w:szCs w:val="36"/>
          <w:highlight w:val="none"/>
        </w:rPr>
      </w:pPr>
      <w:r>
        <w:rPr>
          <w:rFonts w:hint="eastAsia" w:ascii="宋体" w:hAnsi="宋体"/>
          <w:b/>
          <w:color w:val="auto"/>
          <w:sz w:val="36"/>
          <w:szCs w:val="36"/>
          <w:highlight w:val="none"/>
        </w:rPr>
        <w:t>第三部分　投标人须知前附表</w:t>
      </w:r>
    </w:p>
    <w:p w14:paraId="7818C77D">
      <w:pPr>
        <w:pStyle w:val="4"/>
        <w:spacing w:line="360" w:lineRule="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本表是对投标人须知的具体补充和修改，如有矛盾，应以本表为准。</w:t>
      </w:r>
    </w:p>
    <w:tbl>
      <w:tblPr>
        <w:tblStyle w:val="15"/>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7"/>
        <w:gridCol w:w="1241"/>
        <w:gridCol w:w="7126"/>
      </w:tblGrid>
      <w:tr w14:paraId="09229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69A9EDE3">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项号</w:t>
            </w:r>
          </w:p>
        </w:tc>
        <w:tc>
          <w:tcPr>
            <w:tcW w:w="1241" w:type="dxa"/>
          </w:tcPr>
          <w:p w14:paraId="37180863">
            <w:pPr>
              <w:spacing w:before="0" w:beforeAutospacing="0" w:after="0" w:afterAutospacing="0" w:line="360" w:lineRule="auto"/>
              <w:ind w:left="69"/>
              <w:jc w:val="right"/>
              <w:rPr>
                <w:rFonts w:hint="eastAsia" w:ascii="宋体" w:hAnsi="宋体"/>
                <w:color w:val="auto"/>
                <w:szCs w:val="21"/>
                <w:highlight w:val="none"/>
              </w:rPr>
            </w:pPr>
            <w:r>
              <w:rPr>
                <w:rFonts w:hint="eastAsia" w:ascii="宋体" w:hAnsi="宋体"/>
                <w:color w:val="auto"/>
                <w:szCs w:val="21"/>
                <w:highlight w:val="none"/>
              </w:rPr>
              <w:t>条款号</w:t>
            </w:r>
          </w:p>
        </w:tc>
        <w:tc>
          <w:tcPr>
            <w:tcW w:w="7126" w:type="dxa"/>
          </w:tcPr>
          <w:p w14:paraId="30069F86">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38448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101B6E5C">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1</w:t>
            </w:r>
          </w:p>
        </w:tc>
        <w:tc>
          <w:tcPr>
            <w:tcW w:w="1241" w:type="dxa"/>
          </w:tcPr>
          <w:p w14:paraId="07656783">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1.1</w:t>
            </w:r>
          </w:p>
        </w:tc>
        <w:tc>
          <w:tcPr>
            <w:tcW w:w="7126" w:type="dxa"/>
          </w:tcPr>
          <w:p w14:paraId="5840C6E2">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b/>
                <w:color w:val="auto"/>
                <w:sz w:val="24"/>
                <w:highlight w:val="none"/>
              </w:rPr>
              <w:t>2025</w:t>
            </w:r>
            <w:r>
              <w:rPr>
                <w:rFonts w:hint="eastAsia" w:ascii="宋体" w:hAnsi="宋体"/>
                <w:b/>
                <w:color w:val="auto"/>
                <w:sz w:val="24"/>
                <w:highlight w:val="none"/>
                <w:lang w:val="en-US" w:eastAsia="zh-CN"/>
              </w:rPr>
              <w:t>-2026</w:t>
            </w:r>
            <w:r>
              <w:rPr>
                <w:rFonts w:hint="eastAsia" w:ascii="宋体" w:hAnsi="宋体"/>
                <w:b/>
                <w:color w:val="auto"/>
                <w:sz w:val="24"/>
                <w:highlight w:val="none"/>
              </w:rPr>
              <w:t>年度废屑销售</w:t>
            </w:r>
          </w:p>
          <w:p w14:paraId="481AB214">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招标单位名称：四川长江液压件有限责任公司</w:t>
            </w:r>
          </w:p>
          <w:p w14:paraId="432E8B46">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招标内容及要求：详见招标文件第二部分</w:t>
            </w:r>
          </w:p>
          <w:p w14:paraId="6BA1C662">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项目编号：CY-FJWZ-2025003</w:t>
            </w:r>
          </w:p>
        </w:tc>
      </w:tr>
      <w:tr w14:paraId="15593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37420961">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2</w:t>
            </w:r>
          </w:p>
        </w:tc>
        <w:tc>
          <w:tcPr>
            <w:tcW w:w="1241" w:type="dxa"/>
          </w:tcPr>
          <w:p w14:paraId="7B6EA7B3">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2.1</w:t>
            </w:r>
          </w:p>
        </w:tc>
        <w:tc>
          <w:tcPr>
            <w:tcW w:w="7126" w:type="dxa"/>
          </w:tcPr>
          <w:p w14:paraId="5F247995">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合同价格：固定价格，如每个季度首月第一天中国钢材价格指数（以钢之家数据为准、以合同签订之日中国钢材价格指数为基准指数；以钢之家官网数据为准、遇节假日可以提前至假期前一天或延后一天）涨跌幅超过10%时，合同单价根据涨跌幅比例进行相应的调整。</w:t>
            </w:r>
          </w:p>
        </w:tc>
      </w:tr>
      <w:tr w14:paraId="48AB9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1AA772DA">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3</w:t>
            </w:r>
          </w:p>
        </w:tc>
        <w:tc>
          <w:tcPr>
            <w:tcW w:w="1241" w:type="dxa"/>
          </w:tcPr>
          <w:p w14:paraId="24EDC813">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3.1</w:t>
            </w:r>
          </w:p>
        </w:tc>
        <w:tc>
          <w:tcPr>
            <w:tcW w:w="7126" w:type="dxa"/>
          </w:tcPr>
          <w:p w14:paraId="51214131">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投标保证金金额：人民币</w:t>
            </w:r>
            <w:r>
              <w:rPr>
                <w:rFonts w:hint="eastAsia" w:ascii="宋体" w:hAnsi="宋体"/>
                <w:color w:val="auto"/>
                <w:szCs w:val="21"/>
                <w:highlight w:val="none"/>
                <w:lang w:val="en-US" w:eastAsia="zh-CN"/>
              </w:rPr>
              <w:t>1</w:t>
            </w:r>
            <w:r>
              <w:rPr>
                <w:rFonts w:hint="eastAsia" w:ascii="宋体" w:hAnsi="宋体"/>
                <w:color w:val="auto"/>
                <w:szCs w:val="21"/>
                <w:highlight w:val="none"/>
              </w:rPr>
              <w:t>0万</w:t>
            </w:r>
            <w:r>
              <w:rPr>
                <w:rFonts w:ascii="宋体" w:hAnsi="宋体"/>
                <w:color w:val="auto"/>
                <w:szCs w:val="21"/>
                <w:highlight w:val="none"/>
              </w:rPr>
              <w:t>元整</w:t>
            </w:r>
            <w:r>
              <w:rPr>
                <w:rFonts w:hint="eastAsia" w:ascii="宋体" w:hAnsi="宋体"/>
                <w:color w:val="auto"/>
                <w:szCs w:val="21"/>
                <w:highlight w:val="none"/>
              </w:rPr>
              <w:t>。</w:t>
            </w:r>
          </w:p>
          <w:p w14:paraId="03CEC8CD">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投标保证金交纳方式：汇款、转账两种形式（不收取现金、现金支票）。</w:t>
            </w:r>
          </w:p>
          <w:p w14:paraId="2EFA0557">
            <w:pPr>
              <w:spacing w:before="0" w:beforeAutospacing="0" w:after="0" w:afterAutospacing="0" w:line="360" w:lineRule="auto"/>
              <w:ind w:left="69"/>
              <w:rPr>
                <w:rFonts w:ascii="Times New Roman" w:hAnsi="Times New Roman"/>
                <w:color w:val="auto"/>
                <w:highlight w:val="none"/>
              </w:rPr>
            </w:pPr>
            <w:r>
              <w:rPr>
                <w:rFonts w:hint="eastAsia" w:ascii="宋体" w:hAnsi="宋体"/>
                <w:color w:val="auto"/>
                <w:szCs w:val="21"/>
                <w:highlight w:val="none"/>
              </w:rPr>
              <w:t>投标保证金必须在投标截止前到账。投标保证金未按规定提交将导致废标。</w:t>
            </w:r>
          </w:p>
        </w:tc>
      </w:tr>
      <w:tr w14:paraId="1DCEC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7A92F4FC">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4</w:t>
            </w:r>
          </w:p>
        </w:tc>
        <w:tc>
          <w:tcPr>
            <w:tcW w:w="1241" w:type="dxa"/>
          </w:tcPr>
          <w:p w14:paraId="72CD5FCE">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4.1</w:t>
            </w:r>
          </w:p>
        </w:tc>
        <w:tc>
          <w:tcPr>
            <w:tcW w:w="7126" w:type="dxa"/>
          </w:tcPr>
          <w:p w14:paraId="4BE15034">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投标保证金退还时间：评标结束后，未中标者，10个工作日内一次性无息退还；中标者，招标单位与中标人签订书面合同后，投标保证金自动转为履约保证金，履约保证金待服务期满后5个工作日内退还。</w:t>
            </w:r>
          </w:p>
        </w:tc>
      </w:tr>
      <w:tr w14:paraId="055D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212E569F">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5</w:t>
            </w:r>
          </w:p>
        </w:tc>
        <w:tc>
          <w:tcPr>
            <w:tcW w:w="1241" w:type="dxa"/>
          </w:tcPr>
          <w:p w14:paraId="09BDCF6E">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5.1</w:t>
            </w:r>
          </w:p>
        </w:tc>
        <w:tc>
          <w:tcPr>
            <w:tcW w:w="7126" w:type="dxa"/>
          </w:tcPr>
          <w:p w14:paraId="51CB753E">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投标保证金有效期：自开标之日起，投标保证金有效期为90天。</w:t>
            </w:r>
          </w:p>
        </w:tc>
      </w:tr>
      <w:tr w14:paraId="4756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76CB595D">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6</w:t>
            </w:r>
          </w:p>
        </w:tc>
        <w:tc>
          <w:tcPr>
            <w:tcW w:w="1241" w:type="dxa"/>
          </w:tcPr>
          <w:p w14:paraId="72304AAE">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6.1</w:t>
            </w:r>
          </w:p>
        </w:tc>
        <w:tc>
          <w:tcPr>
            <w:tcW w:w="7126" w:type="dxa"/>
          </w:tcPr>
          <w:p w14:paraId="41ADE5D4">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投标有效期：投标文件自开标之日起，投标有效期为90天。投标有效期不足将导致废标。</w:t>
            </w:r>
          </w:p>
        </w:tc>
      </w:tr>
      <w:tr w14:paraId="5738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687C55B6">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7</w:t>
            </w:r>
          </w:p>
        </w:tc>
        <w:tc>
          <w:tcPr>
            <w:tcW w:w="1241" w:type="dxa"/>
          </w:tcPr>
          <w:p w14:paraId="04F11664">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7.1</w:t>
            </w:r>
          </w:p>
        </w:tc>
        <w:tc>
          <w:tcPr>
            <w:tcW w:w="7126" w:type="dxa"/>
          </w:tcPr>
          <w:p w14:paraId="2FF4A3B1">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投标人应制作投标文件正本一份、副本一份。</w:t>
            </w:r>
          </w:p>
        </w:tc>
      </w:tr>
      <w:tr w14:paraId="273AA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2CD24261">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8</w:t>
            </w:r>
          </w:p>
        </w:tc>
        <w:tc>
          <w:tcPr>
            <w:tcW w:w="1241" w:type="dxa"/>
          </w:tcPr>
          <w:p w14:paraId="19494541">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8.1</w:t>
            </w:r>
          </w:p>
        </w:tc>
        <w:tc>
          <w:tcPr>
            <w:tcW w:w="7126" w:type="dxa"/>
          </w:tcPr>
          <w:p w14:paraId="2AF28311">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评标原则：</w:t>
            </w:r>
          </w:p>
          <w:p w14:paraId="349ADC59">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1、评标基本原则：评标工作应依据</w:t>
            </w:r>
            <w:r>
              <w:rPr>
                <w:rFonts w:ascii="宋体" w:hAnsi="宋体"/>
                <w:color w:val="auto"/>
                <w:szCs w:val="21"/>
                <w:highlight w:val="none"/>
              </w:rPr>
              <w:t>《中华人民共和国</w:t>
            </w:r>
            <w:r>
              <w:rPr>
                <w:rFonts w:hint="eastAsia" w:ascii="宋体" w:hAnsi="宋体"/>
                <w:color w:val="auto"/>
                <w:szCs w:val="21"/>
                <w:highlight w:val="none"/>
              </w:rPr>
              <w:t>招标投标</w:t>
            </w:r>
            <w:r>
              <w:rPr>
                <w:rFonts w:ascii="宋体" w:hAnsi="宋体"/>
                <w:color w:val="auto"/>
                <w:szCs w:val="21"/>
                <w:highlight w:val="none"/>
              </w:rPr>
              <w:t>法》</w:t>
            </w:r>
            <w:r>
              <w:rPr>
                <w:rFonts w:hint="eastAsia" w:ascii="宋体" w:hAnsi="宋体"/>
                <w:color w:val="auto"/>
                <w:szCs w:val="21"/>
                <w:highlight w:val="none"/>
              </w:rPr>
              <w:t>等国家、地方政府有关招标投标法规的有关规定，遵循"公平、公正、诚实信用、科学、择优"的原则进行。评标委员会将按照规定只对通过审核的投标人进行评价和比较。</w:t>
            </w:r>
          </w:p>
          <w:p w14:paraId="34040C83">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2、评分方法：本次招标的评标方法采用综合评估法。</w:t>
            </w:r>
          </w:p>
          <w:p w14:paraId="1A60D0B0">
            <w:pPr>
              <w:spacing w:before="0" w:beforeAutospacing="0" w:after="0" w:afterAutospacing="0" w:line="360" w:lineRule="auto"/>
              <w:ind w:left="69"/>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、评标办法：</w:t>
            </w:r>
            <w:r>
              <w:rPr>
                <w:rFonts w:ascii="宋体" w:hAnsi="宋体"/>
                <w:color w:val="auto"/>
                <w:szCs w:val="21"/>
                <w:highlight w:val="none"/>
              </w:rPr>
              <w:t>首先按照评标程序的规定对各投标人的资格性以及符合性做出评审，只有资格性检查和符合性检查合格的投标文件才能进入综合评分。评标委员会各位评委依据评分标准以及各项权重，就每个合格投标人的投标文件及其对招标文件要求的响应情况进行综合比较和评价，统计每个通过审核的投标人的商务、价格得分。将商务得分、价格得分相加得出综合得分就是对该投标文件的评标结果。</w:t>
            </w:r>
            <w:r>
              <w:rPr>
                <w:rFonts w:hint="eastAsia" w:ascii="宋体" w:hAnsi="宋体"/>
                <w:color w:val="auto"/>
                <w:szCs w:val="21"/>
                <w:highlight w:val="none"/>
              </w:rPr>
              <w:t>并推荐得分前三名的投标人为中标候选人，得分第一名的为第一中标候选人，得分第二名的为第二中标候选人，得分第三名的为第三中标候选人。招标人按照评标委员会推荐的中标候选人排序依法确定中标人。</w:t>
            </w:r>
            <w:r>
              <w:rPr>
                <w:rFonts w:ascii="宋体" w:hAnsi="宋体"/>
                <w:color w:val="auto"/>
                <w:szCs w:val="21"/>
                <w:highlight w:val="none"/>
              </w:rPr>
              <w:t>（综合得分相同的，按投标报价由</w:t>
            </w:r>
            <w:r>
              <w:rPr>
                <w:rFonts w:hint="eastAsia" w:ascii="宋体" w:hAnsi="宋体"/>
                <w:color w:val="auto"/>
                <w:szCs w:val="21"/>
                <w:highlight w:val="none"/>
              </w:rPr>
              <w:t>高</w:t>
            </w:r>
            <w:r>
              <w:rPr>
                <w:rFonts w:ascii="宋体" w:hAnsi="宋体"/>
                <w:color w:val="auto"/>
                <w:szCs w:val="21"/>
                <w:highlight w:val="none"/>
              </w:rPr>
              <w:t>到</w:t>
            </w:r>
            <w:r>
              <w:rPr>
                <w:rFonts w:hint="eastAsia" w:ascii="宋体" w:hAnsi="宋体"/>
                <w:color w:val="auto"/>
                <w:szCs w:val="21"/>
                <w:highlight w:val="none"/>
              </w:rPr>
              <w:t>低</w:t>
            </w:r>
            <w:r>
              <w:rPr>
                <w:rFonts w:ascii="宋体" w:hAnsi="宋体"/>
                <w:color w:val="auto"/>
                <w:szCs w:val="21"/>
                <w:highlight w:val="none"/>
              </w:rPr>
              <w:t>顺序排列。综合得分相同且投标报价相同的，按技术指标优劣顺序排列）。</w:t>
            </w:r>
          </w:p>
          <w:p w14:paraId="0F32B447">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4、评分标准（具体见附件：评分标准）</w:t>
            </w:r>
          </w:p>
        </w:tc>
      </w:tr>
      <w:tr w14:paraId="3D2B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097" w:type="dxa"/>
          </w:tcPr>
          <w:p w14:paraId="11352E81">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9</w:t>
            </w:r>
          </w:p>
        </w:tc>
        <w:tc>
          <w:tcPr>
            <w:tcW w:w="1241" w:type="dxa"/>
          </w:tcPr>
          <w:p w14:paraId="4045BA4B">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9.1</w:t>
            </w:r>
          </w:p>
        </w:tc>
        <w:tc>
          <w:tcPr>
            <w:tcW w:w="7126" w:type="dxa"/>
          </w:tcPr>
          <w:p w14:paraId="4E08A843">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接受或拒绝任何或所有投标的权利</w:t>
            </w:r>
          </w:p>
        </w:tc>
      </w:tr>
      <w:tr w14:paraId="5E1BC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097" w:type="dxa"/>
          </w:tcPr>
          <w:p w14:paraId="57DA0059">
            <w:pPr>
              <w:spacing w:before="0" w:beforeAutospacing="0" w:after="0" w:afterAutospacing="0" w:line="360" w:lineRule="auto"/>
              <w:ind w:left="69"/>
              <w:jc w:val="center"/>
              <w:rPr>
                <w:rFonts w:hint="eastAsia" w:ascii="宋体" w:hAnsi="宋体"/>
                <w:color w:val="auto"/>
                <w:szCs w:val="21"/>
                <w:highlight w:val="none"/>
              </w:rPr>
            </w:pPr>
          </w:p>
        </w:tc>
        <w:tc>
          <w:tcPr>
            <w:tcW w:w="1241" w:type="dxa"/>
          </w:tcPr>
          <w:p w14:paraId="614C46CC">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9.2</w:t>
            </w:r>
          </w:p>
        </w:tc>
        <w:tc>
          <w:tcPr>
            <w:tcW w:w="7126" w:type="dxa"/>
          </w:tcPr>
          <w:p w14:paraId="4644F29A">
            <w:pPr>
              <w:spacing w:before="0" w:beforeAutospacing="0" w:after="0" w:afterAutospacing="0" w:line="360" w:lineRule="auto"/>
              <w:ind w:left="69"/>
              <w:rPr>
                <w:rFonts w:hint="eastAsia" w:ascii="宋体" w:hAnsi="宋体"/>
                <w:color w:val="auto"/>
                <w:szCs w:val="21"/>
                <w:highlight w:val="none"/>
              </w:rPr>
            </w:pPr>
            <w:r>
              <w:rPr>
                <w:rFonts w:hint="eastAsia" w:ascii="宋体" w:hAnsi="宋体"/>
                <w:color w:val="auto"/>
                <w:szCs w:val="21"/>
                <w:highlight w:val="none"/>
              </w:rPr>
              <w:t>在特殊情况下，招标人保留在授标之前拒绝任何投标以及宣布招标程序无效或拒绝所有投标的权利。</w:t>
            </w:r>
          </w:p>
        </w:tc>
      </w:tr>
      <w:tr w14:paraId="5CBE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6A9729B1">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10</w:t>
            </w:r>
          </w:p>
        </w:tc>
        <w:tc>
          <w:tcPr>
            <w:tcW w:w="1241" w:type="dxa"/>
          </w:tcPr>
          <w:p w14:paraId="4427680E">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10.1</w:t>
            </w:r>
          </w:p>
        </w:tc>
        <w:tc>
          <w:tcPr>
            <w:tcW w:w="7126" w:type="dxa"/>
          </w:tcPr>
          <w:p w14:paraId="36CFCB7C">
            <w:pPr>
              <w:spacing w:before="0" w:beforeAutospacing="0" w:after="0" w:afterAutospacing="0" w:line="360" w:lineRule="auto"/>
              <w:ind w:left="69"/>
              <w:rPr>
                <w:rFonts w:hint="eastAsia" w:ascii="宋体" w:hAnsi="宋体"/>
                <w:color w:val="auto"/>
                <w:szCs w:val="21"/>
                <w:highlight w:val="none"/>
              </w:rPr>
            </w:pPr>
            <w:r>
              <w:rPr>
                <w:rFonts w:ascii="宋体" w:hAnsi="宋体"/>
                <w:color w:val="auto"/>
                <w:szCs w:val="21"/>
                <w:highlight w:val="none"/>
              </w:rPr>
              <w:t>质量要求：满足国家标准及招标文件“技术规范及要求”。</w:t>
            </w:r>
          </w:p>
        </w:tc>
      </w:tr>
      <w:tr w14:paraId="634FD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7" w:type="dxa"/>
          </w:tcPr>
          <w:p w14:paraId="068BB3CC">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11</w:t>
            </w:r>
          </w:p>
        </w:tc>
        <w:tc>
          <w:tcPr>
            <w:tcW w:w="1241" w:type="dxa"/>
          </w:tcPr>
          <w:p w14:paraId="387D470B">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11.1</w:t>
            </w:r>
          </w:p>
        </w:tc>
        <w:tc>
          <w:tcPr>
            <w:tcW w:w="7126" w:type="dxa"/>
          </w:tcPr>
          <w:p w14:paraId="391B31BC">
            <w:pPr>
              <w:spacing w:before="0" w:beforeAutospacing="0" w:after="0" w:afterAutospacing="0" w:line="360" w:lineRule="auto"/>
              <w:ind w:left="69"/>
              <w:rPr>
                <w:rFonts w:hint="eastAsia" w:ascii="宋体" w:hAnsi="宋体"/>
                <w:color w:val="auto"/>
                <w:szCs w:val="21"/>
                <w:highlight w:val="none"/>
              </w:rPr>
            </w:pPr>
            <w:r>
              <w:rPr>
                <w:rFonts w:ascii="宋体" w:hAnsi="宋体"/>
                <w:color w:val="auto"/>
                <w:szCs w:val="21"/>
                <w:highlight w:val="none"/>
              </w:rPr>
              <w:t>中标</w:t>
            </w:r>
            <w:r>
              <w:rPr>
                <w:rFonts w:hint="eastAsia" w:ascii="宋体" w:hAnsi="宋体"/>
                <w:color w:val="auto"/>
                <w:szCs w:val="21"/>
                <w:highlight w:val="none"/>
              </w:rPr>
              <w:t>人</w:t>
            </w:r>
            <w:r>
              <w:rPr>
                <w:rFonts w:ascii="宋体" w:hAnsi="宋体"/>
                <w:color w:val="auto"/>
                <w:szCs w:val="21"/>
                <w:highlight w:val="none"/>
              </w:rPr>
              <w:t>必须承诺凭中标通知书原件按招标文件的规定签订合同</w:t>
            </w:r>
            <w:r>
              <w:rPr>
                <w:rFonts w:hint="eastAsia" w:ascii="宋体" w:hAnsi="宋体"/>
                <w:color w:val="auto"/>
                <w:szCs w:val="21"/>
                <w:highlight w:val="none"/>
              </w:rPr>
              <w:t>。</w:t>
            </w:r>
          </w:p>
        </w:tc>
      </w:tr>
    </w:tbl>
    <w:p w14:paraId="0807BB87">
      <w:pPr>
        <w:spacing w:before="0" w:beforeAutospacing="0" w:after="0" w:afterAutospacing="0" w:line="360" w:lineRule="auto"/>
        <w:ind w:left="69" w:right="-361" w:rightChars="-172"/>
        <w:rPr>
          <w:rFonts w:hint="eastAsia" w:ascii="宋体" w:hAnsi="宋体"/>
          <w:color w:val="auto"/>
          <w:szCs w:val="21"/>
          <w:highlight w:val="none"/>
        </w:rPr>
      </w:pPr>
    </w:p>
    <w:p w14:paraId="2BB1EDDB">
      <w:pPr>
        <w:spacing w:line="360" w:lineRule="auto"/>
        <w:ind w:left="0" w:leftChars="0"/>
        <w:rPr>
          <w:color w:val="auto"/>
          <w:highlight w:val="none"/>
        </w:rPr>
      </w:pPr>
    </w:p>
    <w:p w14:paraId="63FEACCB">
      <w:pPr>
        <w:spacing w:line="360" w:lineRule="auto"/>
        <w:ind w:left="0" w:leftChars="0"/>
        <w:rPr>
          <w:color w:val="auto"/>
          <w:highlight w:val="none"/>
        </w:rPr>
      </w:pPr>
    </w:p>
    <w:p w14:paraId="3C37D777">
      <w:pPr>
        <w:spacing w:line="360" w:lineRule="auto"/>
        <w:ind w:left="0" w:leftChars="0"/>
        <w:rPr>
          <w:color w:val="auto"/>
          <w:highlight w:val="none"/>
        </w:rPr>
      </w:pPr>
    </w:p>
    <w:p w14:paraId="4551C367">
      <w:pPr>
        <w:spacing w:line="360" w:lineRule="auto"/>
        <w:ind w:left="0" w:leftChars="0"/>
        <w:rPr>
          <w:color w:val="auto"/>
          <w:highlight w:val="none"/>
        </w:rPr>
      </w:pPr>
    </w:p>
    <w:p w14:paraId="6CC211B8">
      <w:pPr>
        <w:spacing w:line="360" w:lineRule="auto"/>
        <w:ind w:left="0" w:leftChars="0"/>
        <w:rPr>
          <w:color w:val="auto"/>
          <w:highlight w:val="none"/>
        </w:rPr>
      </w:pPr>
    </w:p>
    <w:p w14:paraId="6C2EAEBC">
      <w:pPr>
        <w:spacing w:line="360" w:lineRule="auto"/>
        <w:ind w:left="0" w:leftChars="0"/>
        <w:rPr>
          <w:color w:val="auto"/>
          <w:highlight w:val="none"/>
        </w:rPr>
      </w:pPr>
    </w:p>
    <w:p w14:paraId="55F25BE8">
      <w:pPr>
        <w:spacing w:line="360" w:lineRule="auto"/>
        <w:ind w:left="0" w:leftChars="0"/>
        <w:rPr>
          <w:color w:val="auto"/>
          <w:highlight w:val="none"/>
        </w:rPr>
      </w:pPr>
    </w:p>
    <w:p w14:paraId="4DBCA5A0">
      <w:pPr>
        <w:spacing w:before="0" w:beforeAutospacing="0" w:after="0" w:afterAutospacing="0"/>
        <w:ind w:left="0" w:leftChars="0"/>
        <w:rPr>
          <w:color w:val="auto"/>
          <w:highlight w:val="none"/>
        </w:rPr>
      </w:pPr>
    </w:p>
    <w:p w14:paraId="592ADCDD">
      <w:pPr>
        <w:spacing w:before="0" w:beforeAutospacing="0" w:after="0" w:afterAutospacing="0"/>
        <w:ind w:left="0" w:leftChars="0"/>
        <w:rPr>
          <w:color w:val="auto"/>
          <w:highlight w:val="none"/>
        </w:rPr>
      </w:pPr>
      <w:r>
        <w:rPr>
          <w:rFonts w:hint="eastAsia"/>
          <w:color w:val="auto"/>
          <w:highlight w:val="none"/>
        </w:rPr>
        <w:t>附件：评分标准</w:t>
      </w:r>
    </w:p>
    <w:p w14:paraId="5C680025">
      <w:pPr>
        <w:pStyle w:val="10"/>
        <w:tabs>
          <w:tab w:val="left" w:pos="360"/>
          <w:tab w:val="left" w:pos="540"/>
        </w:tabs>
        <w:spacing w:line="500" w:lineRule="exact"/>
        <w:ind w:left="69" w:firstLine="361" w:firstLineChars="150"/>
        <w:rPr>
          <w:rFonts w:hint="eastAsia" w:ascii="宋体" w:hAnsi="宋体"/>
          <w:color w:val="auto"/>
          <w:szCs w:val="28"/>
          <w:highlight w:val="none"/>
        </w:rPr>
      </w:pPr>
      <w:r>
        <w:rPr>
          <w:rFonts w:hint="eastAsia" w:ascii="宋体" w:hAnsi="宋体"/>
          <w:color w:val="auto"/>
          <w:szCs w:val="28"/>
          <w:highlight w:val="none"/>
        </w:rPr>
        <w:t>评标方式采取综合评分法，最高分为中标人。评标分商务分F1、报价分F2两部分，其中商务分占总分1</w:t>
      </w:r>
      <w:r>
        <w:rPr>
          <w:rFonts w:ascii="宋体" w:hAnsi="宋体"/>
          <w:color w:val="auto"/>
          <w:szCs w:val="28"/>
          <w:highlight w:val="none"/>
        </w:rPr>
        <w:t>0</w:t>
      </w:r>
      <w:r>
        <w:rPr>
          <w:rFonts w:hint="eastAsia" w:ascii="宋体" w:hAnsi="宋体"/>
          <w:color w:val="auto"/>
          <w:szCs w:val="28"/>
          <w:highlight w:val="none"/>
        </w:rPr>
        <w:t>%，报价分占9</w:t>
      </w:r>
      <w:r>
        <w:rPr>
          <w:rFonts w:ascii="宋体" w:hAnsi="宋体"/>
          <w:color w:val="auto"/>
          <w:szCs w:val="28"/>
          <w:highlight w:val="none"/>
        </w:rPr>
        <w:t>0</w:t>
      </w:r>
      <w:r>
        <w:rPr>
          <w:rFonts w:hint="eastAsia" w:ascii="宋体" w:hAnsi="宋体"/>
          <w:color w:val="auto"/>
          <w:szCs w:val="28"/>
          <w:highlight w:val="none"/>
        </w:rPr>
        <w:t>%。具体评标细则如下:</w:t>
      </w:r>
    </w:p>
    <w:tbl>
      <w:tblPr>
        <w:tblStyle w:val="1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654"/>
        <w:gridCol w:w="1382"/>
      </w:tblGrid>
      <w:tr w14:paraId="20E9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CDA80EE">
            <w:pPr>
              <w:ind w:left="69"/>
              <w:jc w:val="center"/>
              <w:rPr>
                <w:rFonts w:hint="eastAsia" w:ascii="宋体" w:hAnsi="宋体"/>
                <w:color w:val="auto"/>
                <w:szCs w:val="21"/>
                <w:highlight w:val="none"/>
              </w:rPr>
            </w:pPr>
            <w:r>
              <w:rPr>
                <w:rFonts w:hint="eastAsia" w:ascii="宋体" w:hAnsi="宋体"/>
                <w:color w:val="auto"/>
                <w:szCs w:val="21"/>
                <w:highlight w:val="none"/>
              </w:rPr>
              <w:t>序号</w:t>
            </w:r>
          </w:p>
        </w:tc>
        <w:tc>
          <w:tcPr>
            <w:tcW w:w="7654" w:type="dxa"/>
            <w:vAlign w:val="center"/>
          </w:tcPr>
          <w:p w14:paraId="0590FD1C">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评分因素及评分细则</w:t>
            </w:r>
          </w:p>
        </w:tc>
        <w:tc>
          <w:tcPr>
            <w:tcW w:w="1382" w:type="dxa"/>
          </w:tcPr>
          <w:p w14:paraId="264ADC10">
            <w:pPr>
              <w:ind w:left="69"/>
              <w:jc w:val="center"/>
              <w:rPr>
                <w:rFonts w:hint="eastAsia" w:ascii="宋体" w:hAnsi="宋体"/>
                <w:color w:val="auto"/>
                <w:szCs w:val="21"/>
                <w:highlight w:val="none"/>
              </w:rPr>
            </w:pPr>
            <w:r>
              <w:rPr>
                <w:rFonts w:hint="eastAsia" w:ascii="宋体" w:hAnsi="宋体"/>
                <w:color w:val="auto"/>
                <w:szCs w:val="21"/>
                <w:highlight w:val="none"/>
              </w:rPr>
              <w:t>满分分值</w:t>
            </w:r>
          </w:p>
        </w:tc>
      </w:tr>
      <w:tr w14:paraId="7043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0" w:type="dxa"/>
            <w:gridSpan w:val="3"/>
          </w:tcPr>
          <w:p w14:paraId="283765A4">
            <w:pPr>
              <w:spacing w:before="0" w:beforeAutospacing="0" w:after="0" w:afterAutospacing="0" w:line="360" w:lineRule="auto"/>
              <w:ind w:left="69"/>
              <w:jc w:val="center"/>
              <w:rPr>
                <w:rFonts w:hint="eastAsia" w:ascii="宋体" w:hAnsi="宋体"/>
                <w:color w:val="auto"/>
                <w:szCs w:val="21"/>
                <w:highlight w:val="none"/>
              </w:rPr>
            </w:pPr>
            <w:r>
              <w:rPr>
                <w:rFonts w:hint="eastAsia" w:ascii="宋体" w:hAnsi="宋体"/>
                <w:color w:val="auto"/>
                <w:szCs w:val="21"/>
                <w:highlight w:val="none"/>
              </w:rPr>
              <w:t>1、商务因素F1，满分1</w:t>
            </w:r>
            <w:r>
              <w:rPr>
                <w:rFonts w:ascii="宋体" w:hAnsi="宋体"/>
                <w:color w:val="auto"/>
                <w:szCs w:val="21"/>
                <w:highlight w:val="none"/>
              </w:rPr>
              <w:t>0</w:t>
            </w:r>
            <w:r>
              <w:rPr>
                <w:rFonts w:hint="eastAsia" w:ascii="宋体" w:hAnsi="宋体"/>
                <w:color w:val="auto"/>
                <w:szCs w:val="21"/>
                <w:highlight w:val="none"/>
              </w:rPr>
              <w:t>分</w:t>
            </w:r>
          </w:p>
        </w:tc>
      </w:tr>
      <w:tr w14:paraId="555B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6C26545">
            <w:pPr>
              <w:widowControl/>
              <w:autoSpaceDE w:val="0"/>
              <w:spacing w:line="360" w:lineRule="auto"/>
              <w:ind w:left="0" w:leftChars="0" w:right="-84" w:rightChars="-40"/>
              <w:jc w:val="center"/>
              <w:rPr>
                <w:rFonts w:hint="eastAsia" w:ascii="宋体" w:hAnsi="宋体"/>
                <w:color w:val="auto"/>
                <w:szCs w:val="21"/>
                <w:highlight w:val="none"/>
              </w:rPr>
            </w:pPr>
            <w:r>
              <w:rPr>
                <w:rFonts w:hint="eastAsia" w:ascii="宋体" w:hAnsi="宋体"/>
                <w:color w:val="auto"/>
                <w:szCs w:val="21"/>
                <w:highlight w:val="none"/>
              </w:rPr>
              <w:t>1</w:t>
            </w:r>
          </w:p>
        </w:tc>
        <w:tc>
          <w:tcPr>
            <w:tcW w:w="7654" w:type="dxa"/>
            <w:vAlign w:val="center"/>
          </w:tcPr>
          <w:p w14:paraId="7AB3F515">
            <w:pPr>
              <w:spacing w:before="0" w:beforeAutospacing="0" w:after="0" w:afterAutospacing="0" w:line="360" w:lineRule="auto"/>
              <w:ind w:left="69"/>
              <w:rPr>
                <w:rFonts w:hint="eastAsia" w:ascii="宋体" w:hAnsi="宋体"/>
                <w:color w:val="auto"/>
                <w:szCs w:val="21"/>
                <w:highlight w:val="none"/>
              </w:rPr>
            </w:pPr>
            <w:r>
              <w:rPr>
                <w:rFonts w:ascii="宋体" w:hAnsi="宋体"/>
                <w:color w:val="auto"/>
                <w:szCs w:val="21"/>
                <w:highlight w:val="none"/>
              </w:rPr>
              <w:t>营业执照</w:t>
            </w:r>
          </w:p>
        </w:tc>
        <w:tc>
          <w:tcPr>
            <w:tcW w:w="1382" w:type="dxa"/>
            <w:vAlign w:val="center"/>
          </w:tcPr>
          <w:p w14:paraId="64CE31D8">
            <w:pPr>
              <w:widowControl/>
              <w:spacing w:line="360" w:lineRule="auto"/>
              <w:ind w:left="69"/>
              <w:jc w:val="center"/>
              <w:rPr>
                <w:rFonts w:hint="eastAsia" w:ascii="宋体" w:hAnsi="宋体"/>
                <w:color w:val="auto"/>
                <w:szCs w:val="21"/>
                <w:highlight w:val="none"/>
              </w:rPr>
            </w:pPr>
            <w:r>
              <w:rPr>
                <w:rFonts w:hint="eastAsia" w:ascii="宋体" w:hAnsi="宋体"/>
                <w:color w:val="auto"/>
                <w:szCs w:val="21"/>
                <w:highlight w:val="none"/>
              </w:rPr>
              <w:t>2</w:t>
            </w:r>
          </w:p>
        </w:tc>
      </w:tr>
      <w:tr w14:paraId="2E7A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2BBD8C8">
            <w:pPr>
              <w:autoSpaceDE w:val="0"/>
              <w:spacing w:line="360" w:lineRule="auto"/>
              <w:ind w:left="0" w:leftChars="0" w:right="-84" w:rightChars="-40"/>
              <w:jc w:val="center"/>
              <w:rPr>
                <w:rFonts w:hint="eastAsia" w:ascii="宋体" w:hAnsi="宋体"/>
                <w:color w:val="auto"/>
                <w:szCs w:val="21"/>
                <w:highlight w:val="none"/>
              </w:rPr>
            </w:pPr>
            <w:r>
              <w:rPr>
                <w:rFonts w:hint="eastAsia" w:ascii="宋体" w:hAnsi="宋体"/>
                <w:color w:val="auto"/>
                <w:szCs w:val="21"/>
                <w:highlight w:val="none"/>
              </w:rPr>
              <w:t>2</w:t>
            </w:r>
          </w:p>
        </w:tc>
        <w:tc>
          <w:tcPr>
            <w:tcW w:w="7654" w:type="dxa"/>
            <w:vAlign w:val="center"/>
          </w:tcPr>
          <w:p w14:paraId="1B78475A">
            <w:pPr>
              <w:spacing w:before="0" w:beforeAutospacing="0" w:after="0" w:afterAutospacing="0" w:line="360" w:lineRule="auto"/>
              <w:ind w:left="69"/>
              <w:rPr>
                <w:rFonts w:hint="eastAsia" w:ascii="宋体" w:hAnsi="宋体"/>
                <w:color w:val="auto"/>
                <w:szCs w:val="21"/>
                <w:highlight w:val="none"/>
              </w:rPr>
            </w:pPr>
            <w:r>
              <w:rPr>
                <w:rFonts w:ascii="宋体" w:hAnsi="宋体"/>
                <w:color w:val="auto"/>
                <w:szCs w:val="21"/>
                <w:highlight w:val="none"/>
              </w:rPr>
              <w:t>废旧物资处理资质</w:t>
            </w:r>
          </w:p>
        </w:tc>
        <w:tc>
          <w:tcPr>
            <w:tcW w:w="1382" w:type="dxa"/>
            <w:vAlign w:val="center"/>
          </w:tcPr>
          <w:p w14:paraId="7056013D">
            <w:pPr>
              <w:widowControl/>
              <w:spacing w:line="360" w:lineRule="auto"/>
              <w:ind w:left="69"/>
              <w:jc w:val="center"/>
              <w:rPr>
                <w:rFonts w:hint="eastAsia" w:ascii="宋体" w:hAnsi="宋体"/>
                <w:color w:val="auto"/>
                <w:szCs w:val="21"/>
                <w:highlight w:val="none"/>
              </w:rPr>
            </w:pPr>
            <w:r>
              <w:rPr>
                <w:rFonts w:hint="eastAsia" w:ascii="宋体" w:hAnsi="宋体"/>
                <w:color w:val="auto"/>
                <w:szCs w:val="21"/>
                <w:highlight w:val="none"/>
              </w:rPr>
              <w:t>4</w:t>
            </w:r>
          </w:p>
        </w:tc>
      </w:tr>
      <w:tr w14:paraId="50F9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9E1BFA4">
            <w:pPr>
              <w:autoSpaceDE w:val="0"/>
              <w:spacing w:line="360" w:lineRule="auto"/>
              <w:ind w:left="0" w:leftChars="0" w:right="-84" w:rightChars="-40"/>
              <w:jc w:val="center"/>
              <w:rPr>
                <w:rFonts w:hint="eastAsia" w:ascii="宋体" w:hAnsi="宋体"/>
                <w:color w:val="auto"/>
                <w:szCs w:val="21"/>
                <w:highlight w:val="none"/>
              </w:rPr>
            </w:pPr>
            <w:r>
              <w:rPr>
                <w:rFonts w:ascii="宋体" w:hAnsi="宋体"/>
                <w:color w:val="auto"/>
                <w:szCs w:val="21"/>
                <w:highlight w:val="none"/>
              </w:rPr>
              <w:t>3</w:t>
            </w:r>
          </w:p>
        </w:tc>
        <w:tc>
          <w:tcPr>
            <w:tcW w:w="7654" w:type="dxa"/>
            <w:vAlign w:val="center"/>
          </w:tcPr>
          <w:p w14:paraId="5481C3C1">
            <w:pPr>
              <w:spacing w:before="0" w:beforeAutospacing="0" w:after="0" w:afterAutospacing="0" w:line="360" w:lineRule="auto"/>
              <w:ind w:left="69"/>
              <w:rPr>
                <w:rFonts w:hint="eastAsia" w:ascii="宋体" w:hAnsi="宋体"/>
                <w:color w:val="auto"/>
                <w:szCs w:val="21"/>
                <w:highlight w:val="none"/>
              </w:rPr>
            </w:pPr>
            <w:r>
              <w:rPr>
                <w:rFonts w:ascii="宋体" w:hAnsi="宋体"/>
                <w:color w:val="auto"/>
                <w:szCs w:val="21"/>
                <w:highlight w:val="none"/>
              </w:rPr>
              <w:t>工业垃圾处理资质（第三方资质）</w:t>
            </w:r>
          </w:p>
        </w:tc>
        <w:tc>
          <w:tcPr>
            <w:tcW w:w="1382" w:type="dxa"/>
            <w:vAlign w:val="center"/>
          </w:tcPr>
          <w:p w14:paraId="113FA067">
            <w:pPr>
              <w:widowControl/>
              <w:spacing w:line="360" w:lineRule="auto"/>
              <w:ind w:left="69"/>
              <w:jc w:val="center"/>
              <w:rPr>
                <w:rFonts w:hint="eastAsia" w:ascii="宋体" w:hAnsi="宋体"/>
                <w:color w:val="auto"/>
                <w:szCs w:val="21"/>
                <w:highlight w:val="none"/>
              </w:rPr>
            </w:pPr>
            <w:r>
              <w:rPr>
                <w:rFonts w:hint="eastAsia" w:ascii="宋体" w:hAnsi="宋体"/>
                <w:color w:val="auto"/>
                <w:szCs w:val="21"/>
                <w:highlight w:val="none"/>
              </w:rPr>
              <w:t>4</w:t>
            </w:r>
          </w:p>
        </w:tc>
      </w:tr>
      <w:tr w14:paraId="43DC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570" w:type="dxa"/>
            <w:gridSpan w:val="3"/>
          </w:tcPr>
          <w:p w14:paraId="0659F36D">
            <w:pPr>
              <w:ind w:left="69"/>
              <w:jc w:val="center"/>
              <w:rPr>
                <w:rFonts w:hint="eastAsia" w:ascii="宋体" w:hAnsi="宋体"/>
                <w:color w:val="auto"/>
                <w:szCs w:val="21"/>
                <w:highlight w:val="none"/>
              </w:rPr>
            </w:pPr>
            <w:r>
              <w:rPr>
                <w:rFonts w:hint="eastAsia" w:ascii="宋体" w:hAnsi="宋体"/>
                <w:color w:val="auto"/>
                <w:szCs w:val="21"/>
                <w:highlight w:val="none"/>
              </w:rPr>
              <w:t>2、报价因素F2，满分9</w:t>
            </w:r>
            <w:r>
              <w:rPr>
                <w:rFonts w:ascii="宋体" w:hAnsi="宋体"/>
                <w:color w:val="auto"/>
                <w:szCs w:val="21"/>
                <w:highlight w:val="none"/>
              </w:rPr>
              <w:t>0</w:t>
            </w:r>
            <w:r>
              <w:rPr>
                <w:rFonts w:hint="eastAsia" w:ascii="宋体" w:hAnsi="宋体"/>
                <w:color w:val="auto"/>
                <w:szCs w:val="21"/>
                <w:highlight w:val="none"/>
              </w:rPr>
              <w:t>分</w:t>
            </w:r>
          </w:p>
        </w:tc>
      </w:tr>
      <w:tr w14:paraId="70FF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6D050DF">
            <w:pPr>
              <w:ind w:left="69"/>
              <w:jc w:val="center"/>
              <w:rPr>
                <w:rFonts w:hint="eastAsia" w:ascii="宋体" w:hAnsi="宋体"/>
                <w:color w:val="auto"/>
                <w:szCs w:val="21"/>
                <w:highlight w:val="none"/>
              </w:rPr>
            </w:pPr>
            <w:r>
              <w:rPr>
                <w:rFonts w:hint="eastAsia" w:ascii="宋体" w:hAnsi="宋体"/>
                <w:color w:val="auto"/>
                <w:szCs w:val="21"/>
                <w:highlight w:val="none"/>
              </w:rPr>
              <w:t>4</w:t>
            </w:r>
          </w:p>
        </w:tc>
        <w:tc>
          <w:tcPr>
            <w:tcW w:w="7654" w:type="dxa"/>
          </w:tcPr>
          <w:p w14:paraId="30BB7898">
            <w:pPr>
              <w:spacing w:line="360" w:lineRule="auto"/>
              <w:ind w:left="69"/>
              <w:rPr>
                <w:rFonts w:hint="eastAsia" w:ascii="宋体" w:hAnsi="宋体"/>
                <w:color w:val="auto"/>
                <w:szCs w:val="21"/>
                <w:highlight w:val="none"/>
              </w:rPr>
            </w:pPr>
            <w:r>
              <w:rPr>
                <w:rFonts w:hint="eastAsia" w:ascii="宋体" w:hAnsi="宋体"/>
                <w:color w:val="auto"/>
                <w:szCs w:val="21"/>
                <w:highlight w:val="none"/>
              </w:rPr>
              <w:t>（1）投标人评标价格等于评标基准价时得9</w:t>
            </w:r>
            <w:r>
              <w:rPr>
                <w:rFonts w:ascii="宋体" w:hAnsi="宋体"/>
                <w:color w:val="auto"/>
                <w:szCs w:val="21"/>
                <w:highlight w:val="none"/>
              </w:rPr>
              <w:t>0</w:t>
            </w:r>
            <w:r>
              <w:rPr>
                <w:rFonts w:hint="eastAsia" w:ascii="宋体" w:hAnsi="宋体"/>
                <w:color w:val="auto"/>
                <w:szCs w:val="21"/>
                <w:highlight w:val="none"/>
              </w:rPr>
              <w:t xml:space="preserve">分； </w:t>
            </w:r>
          </w:p>
          <w:p w14:paraId="230E232E">
            <w:pPr>
              <w:spacing w:line="360" w:lineRule="auto"/>
              <w:ind w:left="69"/>
              <w:rPr>
                <w:rFonts w:hint="eastAsia" w:ascii="宋体" w:hAnsi="宋体"/>
                <w:color w:val="auto"/>
                <w:szCs w:val="21"/>
                <w:highlight w:val="none"/>
              </w:rPr>
            </w:pPr>
            <w:r>
              <w:rPr>
                <w:rFonts w:hint="eastAsia" w:ascii="宋体" w:hAnsi="宋体"/>
                <w:color w:val="auto"/>
                <w:szCs w:val="21"/>
                <w:highlight w:val="none"/>
              </w:rPr>
              <w:t>（2）报价得分=投标人报价/评标基准价*9</w:t>
            </w:r>
            <w:r>
              <w:rPr>
                <w:rFonts w:ascii="宋体" w:hAnsi="宋体"/>
                <w:color w:val="auto"/>
                <w:szCs w:val="21"/>
                <w:highlight w:val="none"/>
              </w:rPr>
              <w:t>0</w:t>
            </w:r>
            <w:r>
              <w:rPr>
                <w:rFonts w:hint="eastAsia" w:ascii="宋体" w:hAnsi="宋体"/>
                <w:color w:val="auto"/>
                <w:szCs w:val="21"/>
                <w:highlight w:val="none"/>
              </w:rPr>
              <w:t>分。（钢屑占22%、铁屑占74%、铝屑占4%）</w:t>
            </w:r>
          </w:p>
        </w:tc>
        <w:tc>
          <w:tcPr>
            <w:tcW w:w="1382" w:type="dxa"/>
            <w:vAlign w:val="center"/>
          </w:tcPr>
          <w:p w14:paraId="70686BE2">
            <w:pPr>
              <w:ind w:left="69"/>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0</w:t>
            </w:r>
          </w:p>
        </w:tc>
      </w:tr>
    </w:tbl>
    <w:p w14:paraId="1A5995C3">
      <w:pPr>
        <w:spacing w:before="0" w:beforeAutospacing="0" w:after="0" w:afterAutospacing="0" w:line="360" w:lineRule="auto"/>
        <w:ind w:left="0" w:leftChars="0"/>
        <w:rPr>
          <w:rFonts w:hint="eastAsia" w:ascii="宋体" w:hAnsi="宋体"/>
          <w:color w:val="auto"/>
          <w:szCs w:val="21"/>
          <w:highlight w:val="none"/>
        </w:rPr>
      </w:pPr>
      <w:r>
        <w:rPr>
          <w:rFonts w:hint="eastAsia" w:ascii="宋体" w:hAnsi="宋体"/>
          <w:color w:val="auto"/>
          <w:szCs w:val="21"/>
          <w:highlight w:val="none"/>
        </w:rPr>
        <w:t>确定中标人：</w:t>
      </w:r>
    </w:p>
    <w:p w14:paraId="79D32524">
      <w:pPr>
        <w:spacing w:before="0" w:beforeAutospacing="0" w:after="0" w:afterAutospacing="0"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1、投标人最后综合得分=F1+F2，最高分为中标人。</w:t>
      </w:r>
    </w:p>
    <w:p w14:paraId="3444C4F9">
      <w:pPr>
        <w:spacing w:before="0" w:beforeAutospacing="0" w:after="0" w:afterAutospacing="0" w:line="360" w:lineRule="auto"/>
        <w:ind w:left="0" w:leftChars="0" w:firstLine="420" w:firstLineChars="200"/>
        <w:rPr>
          <w:rFonts w:hint="eastAsia"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评标基准价计算</w:t>
      </w:r>
      <w:r>
        <w:rPr>
          <w:rFonts w:hint="eastAsia" w:ascii="宋体" w:hAnsi="宋体"/>
          <w:color w:val="auto"/>
          <w:szCs w:val="21"/>
          <w:highlight w:val="none"/>
        </w:rPr>
        <w:t>：</w:t>
      </w:r>
      <w:r>
        <w:rPr>
          <w:rFonts w:hint="eastAsia" w:ascii="宋体" w:hAnsi="宋体"/>
          <w:b/>
          <w:color w:val="auto"/>
          <w:szCs w:val="21"/>
          <w:highlight w:val="none"/>
        </w:rPr>
        <w:t>以最高</w:t>
      </w:r>
      <w:r>
        <w:rPr>
          <w:rFonts w:hint="eastAsia" w:ascii="宋体" w:hAnsi="宋体"/>
          <w:b/>
          <w:color w:val="auto"/>
          <w:szCs w:val="21"/>
          <w:highlight w:val="none"/>
          <w:lang w:eastAsia="zh-CN"/>
        </w:rPr>
        <w:t>报价</w:t>
      </w:r>
      <w:r>
        <w:rPr>
          <w:rFonts w:hint="eastAsia" w:ascii="宋体" w:hAnsi="宋体"/>
          <w:b/>
          <w:color w:val="auto"/>
          <w:szCs w:val="21"/>
          <w:highlight w:val="none"/>
        </w:rPr>
        <w:t>作为评标基准价。</w:t>
      </w:r>
    </w:p>
    <w:sectPr>
      <w:headerReference r:id="rId17" w:type="default"/>
      <w:footerReference r:id="rId18" w:type="default"/>
      <w:type w:val="nextColumn"/>
      <w:pgSz w:w="11906" w:h="16838"/>
      <w:pgMar w:top="1440" w:right="1931" w:bottom="1440" w:left="1797" w:header="851" w:footer="992" w:gutter="0"/>
      <w:pgNumType w:start="1"/>
      <w:cols w:space="720" w:num="1"/>
      <w:docGrid w:type="lines" w:linePitch="5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69"/>
      </w:pPr>
      <w:r>
        <w:separator/>
      </w:r>
    </w:p>
  </w:endnote>
  <w:endnote w:type="continuationSeparator" w:id="1">
    <w:p>
      <w:pPr>
        <w:ind w:left="6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40F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A73F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87D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F182">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3203688"/>
    </w:sdtPr>
    <w:sdtContent>
      <w:p w14:paraId="1D5E64AF">
        <w:pPr>
          <w:pStyle w:val="12"/>
          <w:jc w:val="right"/>
        </w:pPr>
        <w:r>
          <w:fldChar w:fldCharType="begin"/>
        </w:r>
        <w:r>
          <w:instrText xml:space="preserve">PAGE   \* MERGEFORMAT</w:instrText>
        </w:r>
        <w:r>
          <w:fldChar w:fldCharType="separate"/>
        </w:r>
        <w:r>
          <w:rPr>
            <w:lang w:val="zh-CN"/>
          </w:rPr>
          <w:t>1</w:t>
        </w:r>
        <w:r>
          <w:fldChar w:fldCharType="end"/>
        </w:r>
      </w:p>
    </w:sdtContent>
  </w:sdt>
  <w:p w14:paraId="49495834">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29A55">
    <w:pPr>
      <w:ind w:left="69" w:left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0520">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69"/>
      </w:pPr>
      <w:r>
        <w:separator/>
      </w:r>
    </w:p>
  </w:footnote>
  <w:footnote w:type="continuationSeparator" w:id="1">
    <w:p>
      <w:pPr>
        <w:spacing w:before="0" w:after="0"/>
        <w:ind w:left="6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2A28">
    <w:pPr>
      <w:ind w:left="69" w:left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F61A">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64A6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AE008">
    <w:pPr>
      <w:pStyle w:val="13"/>
      <w:jc w:val="both"/>
      <w:rPr>
        <w:rFonts w:hint="eastAsia" w:ascii="宋体" w:hAnsi="宋体"/>
        <w:sz w:val="21"/>
        <w:shd w:val="pct10" w:color="auto" w:fill="FFFFFF"/>
      </w:rPr>
    </w:pPr>
    <w:r>
      <w:rPr>
        <w:rFonts w:hint="eastAsia" w:ascii="宋体" w:hAnsi="宋体"/>
        <w:sz w:val="21"/>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4EAC">
    <w:pPr>
      <w:pStyle w:val="13"/>
      <w:rPr>
        <w:rFonts w:ascii="新宋体" w:eastAsia="新宋体"/>
      </w:rPr>
    </w:pPr>
    <w:r>
      <w:rPr>
        <w:rFonts w:hint="eastAsia" w:ascii="新宋体" w:eastAsia="新宋体"/>
        <w:sz w:val="21"/>
      </w:rPr>
      <w:t>招</w:t>
    </w:r>
    <w:r>
      <w:rPr>
        <w:rFonts w:hint="eastAsia" w:ascii="宋体" w:hAnsi="宋体"/>
        <w:sz w:val="21"/>
      </w:rPr>
      <w:t>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094B">
    <w:pPr>
      <w:pStyle w:val="13"/>
      <w:jc w:val="both"/>
      <w:rPr>
        <w:rFonts w:ascii="新宋体" w:eastAsia="新宋体"/>
        <w:sz w:val="21"/>
      </w:rPr>
    </w:pPr>
    <w:r>
      <w:rPr>
        <w:rFonts w:hint="eastAsia" w:ascii="新宋体" w:eastAsia="新宋体"/>
        <w:sz w:val="21"/>
      </w:rPr>
      <w:t xml:space="preserve">招标文件　　　　　　　　　　　　　                                        技术规格及要求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E23F">
    <w:pPr>
      <w:pStyle w:val="13"/>
      <w:rPr>
        <w:rFonts w:hint="eastAsia" w:ascii="宋体" w:hAnsi="宋体"/>
        <w:sz w:val="21"/>
      </w:rPr>
    </w:pPr>
    <w:r>
      <w:rPr>
        <w:rFonts w:hint="eastAsia" w:ascii="宋体" w:hAnsi="宋体"/>
        <w:sz w:val="21"/>
      </w:rPr>
      <w:t>招标文件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E7"/>
    <w:rsid w:val="00005DC7"/>
    <w:rsid w:val="00052137"/>
    <w:rsid w:val="000537F6"/>
    <w:rsid w:val="00091126"/>
    <w:rsid w:val="000C0869"/>
    <w:rsid w:val="000C6AB1"/>
    <w:rsid w:val="000E285B"/>
    <w:rsid w:val="001124B0"/>
    <w:rsid w:val="0012097E"/>
    <w:rsid w:val="00135848"/>
    <w:rsid w:val="001A2355"/>
    <w:rsid w:val="001D4E0D"/>
    <w:rsid w:val="001E40C5"/>
    <w:rsid w:val="001F64B0"/>
    <w:rsid w:val="00220A59"/>
    <w:rsid w:val="00257341"/>
    <w:rsid w:val="002D7615"/>
    <w:rsid w:val="002E3359"/>
    <w:rsid w:val="003519AC"/>
    <w:rsid w:val="003957AE"/>
    <w:rsid w:val="003C6CC7"/>
    <w:rsid w:val="003F16E6"/>
    <w:rsid w:val="004370D5"/>
    <w:rsid w:val="00480A96"/>
    <w:rsid w:val="004A6C18"/>
    <w:rsid w:val="004C6171"/>
    <w:rsid w:val="004D3F41"/>
    <w:rsid w:val="005150C4"/>
    <w:rsid w:val="00553919"/>
    <w:rsid w:val="005669F9"/>
    <w:rsid w:val="00567518"/>
    <w:rsid w:val="006151DB"/>
    <w:rsid w:val="006459FB"/>
    <w:rsid w:val="00666EE7"/>
    <w:rsid w:val="006D371A"/>
    <w:rsid w:val="007D019A"/>
    <w:rsid w:val="00813C5B"/>
    <w:rsid w:val="00887B03"/>
    <w:rsid w:val="008F16ED"/>
    <w:rsid w:val="00963E82"/>
    <w:rsid w:val="00965450"/>
    <w:rsid w:val="009A3190"/>
    <w:rsid w:val="009F0A53"/>
    <w:rsid w:val="00A02E9B"/>
    <w:rsid w:val="00A3485E"/>
    <w:rsid w:val="00A36DC2"/>
    <w:rsid w:val="00A73AE6"/>
    <w:rsid w:val="00AB5715"/>
    <w:rsid w:val="00B52C96"/>
    <w:rsid w:val="00B67027"/>
    <w:rsid w:val="00B8400C"/>
    <w:rsid w:val="00B90BB1"/>
    <w:rsid w:val="00BA3985"/>
    <w:rsid w:val="00C46410"/>
    <w:rsid w:val="00C82EAB"/>
    <w:rsid w:val="00C9240F"/>
    <w:rsid w:val="00CA3077"/>
    <w:rsid w:val="00D11308"/>
    <w:rsid w:val="00D251F5"/>
    <w:rsid w:val="00D3599C"/>
    <w:rsid w:val="00E336DB"/>
    <w:rsid w:val="00E44F2C"/>
    <w:rsid w:val="00E53881"/>
    <w:rsid w:val="00EA68ED"/>
    <w:rsid w:val="00EA7A5A"/>
    <w:rsid w:val="00EB051B"/>
    <w:rsid w:val="00F06167"/>
    <w:rsid w:val="00F11199"/>
    <w:rsid w:val="00F263F9"/>
    <w:rsid w:val="00F7768E"/>
    <w:rsid w:val="00F848AC"/>
    <w:rsid w:val="00FB530F"/>
    <w:rsid w:val="01FC7214"/>
    <w:rsid w:val="02DF22CF"/>
    <w:rsid w:val="092045AD"/>
    <w:rsid w:val="0BF716EE"/>
    <w:rsid w:val="0C2E1F47"/>
    <w:rsid w:val="0DFC7EF6"/>
    <w:rsid w:val="0EF40828"/>
    <w:rsid w:val="0F7F492B"/>
    <w:rsid w:val="102962AF"/>
    <w:rsid w:val="11875983"/>
    <w:rsid w:val="16596861"/>
    <w:rsid w:val="18194E5B"/>
    <w:rsid w:val="1D2B0E0C"/>
    <w:rsid w:val="1D725739"/>
    <w:rsid w:val="24AD696E"/>
    <w:rsid w:val="2D206678"/>
    <w:rsid w:val="308B2942"/>
    <w:rsid w:val="31472D78"/>
    <w:rsid w:val="3150593A"/>
    <w:rsid w:val="3D514C5F"/>
    <w:rsid w:val="44FF5255"/>
    <w:rsid w:val="465B295F"/>
    <w:rsid w:val="47B414A1"/>
    <w:rsid w:val="4AA31908"/>
    <w:rsid w:val="4D0B2FD8"/>
    <w:rsid w:val="4E0A0EF3"/>
    <w:rsid w:val="4EE23C1E"/>
    <w:rsid w:val="53A5346C"/>
    <w:rsid w:val="55E262B1"/>
    <w:rsid w:val="5E0C4813"/>
    <w:rsid w:val="5FA16009"/>
    <w:rsid w:val="5FC353A5"/>
    <w:rsid w:val="6A99202E"/>
    <w:rsid w:val="6C060AF4"/>
    <w:rsid w:val="71922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ind w:left="33" w:leftChars="33"/>
    </w:pPr>
    <w:rPr>
      <w:rFonts w:ascii="Calibri" w:hAnsi="Calibri" w:eastAsia="宋体" w:cs="Times New Roman"/>
      <w:kern w:val="2"/>
      <w:sz w:val="21"/>
      <w:szCs w:val="24"/>
      <w:lang w:val="en-US" w:eastAsia="zh-CN" w:bidi="ar-SA"/>
    </w:rPr>
  </w:style>
  <w:style w:type="paragraph" w:styleId="5">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3"/>
    <w:qFormat/>
    <w:uiPriority w:val="0"/>
    <w:pPr>
      <w:keepNext/>
      <w:spacing w:before="0" w:beforeAutospacing="0" w:after="0" w:afterAutospacing="0"/>
      <w:ind w:left="0" w:leftChars="0"/>
      <w:jc w:val="center"/>
      <w:outlineLvl w:val="1"/>
    </w:pPr>
    <w:rPr>
      <w:rFonts w:ascii="楷体_GB2312" w:eastAsia="楷体_GB2312"/>
      <w:b/>
      <w:sz w:val="44"/>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qFormat/>
    <w:uiPriority w:val="0"/>
    <w:pPr>
      <w:widowControl/>
      <w:spacing w:before="25" w:after="25"/>
      <w:jc w:val="left"/>
    </w:pPr>
    <w:rPr>
      <w:rFonts w:ascii="Times" w:hAnsi="Times" w:cs="宋体"/>
      <w:spacing w:val="10"/>
      <w:kern w:val="0"/>
      <w:sz w:val="24"/>
      <w:szCs w:val="24"/>
    </w:rPr>
  </w:style>
  <w:style w:type="paragraph" w:styleId="3">
    <w:name w:val="Body Text First Indent"/>
    <w:basedOn w:val="4"/>
    <w:qFormat/>
    <w:uiPriority w:val="0"/>
    <w:pPr>
      <w:ind w:firstLine="420" w:firstLineChars="100"/>
    </w:pPr>
  </w:style>
  <w:style w:type="paragraph" w:styleId="4">
    <w:name w:val="Body Text"/>
    <w:basedOn w:val="1"/>
    <w:next w:val="3"/>
    <w:link w:val="26"/>
    <w:qFormat/>
    <w:uiPriority w:val="0"/>
    <w:pPr>
      <w:spacing w:before="0" w:beforeAutospacing="0" w:after="0" w:afterAutospacing="0"/>
      <w:ind w:left="0" w:leftChars="0"/>
      <w:jc w:val="center"/>
    </w:pPr>
    <w:rPr>
      <w:rFonts w:ascii="幼圆" w:hAnsi="新宋体" w:eastAsia="幼圆"/>
      <w:b/>
      <w:bCs/>
      <w:sz w:val="84"/>
      <w:szCs w:val="20"/>
    </w:rPr>
  </w:style>
  <w:style w:type="paragraph" w:styleId="7">
    <w:name w:val="Normal Indent"/>
    <w:basedOn w:val="1"/>
    <w:link w:val="27"/>
    <w:qFormat/>
    <w:uiPriority w:val="0"/>
    <w:pPr>
      <w:spacing w:before="0" w:beforeAutospacing="0" w:after="0" w:afterAutospacing="0"/>
      <w:ind w:left="0" w:leftChars="0" w:firstLine="420"/>
      <w:jc w:val="both"/>
    </w:pPr>
    <w:rPr>
      <w:szCs w:val="20"/>
    </w:rPr>
  </w:style>
  <w:style w:type="paragraph" w:styleId="8">
    <w:name w:val="annotation text"/>
    <w:basedOn w:val="1"/>
    <w:link w:val="38"/>
    <w:semiHidden/>
    <w:unhideWhenUsed/>
    <w:qFormat/>
    <w:uiPriority w:val="99"/>
  </w:style>
  <w:style w:type="paragraph" w:styleId="9">
    <w:name w:val="Plain Text"/>
    <w:basedOn w:val="1"/>
    <w:link w:val="24"/>
    <w:qFormat/>
    <w:uiPriority w:val="0"/>
    <w:pPr>
      <w:spacing w:before="0" w:beforeAutospacing="0" w:after="0" w:afterAutospacing="0"/>
      <w:ind w:left="0" w:leftChars="0"/>
      <w:jc w:val="both"/>
    </w:pPr>
    <w:rPr>
      <w:rFonts w:ascii="宋体" w:hAnsi="Courier New"/>
      <w:szCs w:val="21"/>
    </w:rPr>
  </w:style>
  <w:style w:type="paragraph" w:styleId="10">
    <w:name w:val="Body Text Indent 2"/>
    <w:basedOn w:val="1"/>
    <w:link w:val="25"/>
    <w:qFormat/>
    <w:uiPriority w:val="0"/>
    <w:pPr>
      <w:spacing w:before="0" w:beforeAutospacing="0" w:after="0" w:afterAutospacing="0"/>
      <w:ind w:left="0" w:leftChars="0" w:firstLine="480" w:firstLineChars="200"/>
      <w:jc w:val="both"/>
    </w:pPr>
    <w:rPr>
      <w:rFonts w:ascii="仿宋_GB2312" w:hAnsi="华文中宋" w:eastAsia="仿宋_GB2312"/>
      <w:b/>
      <w:bCs/>
      <w:sz w:val="24"/>
      <w:szCs w:val="20"/>
    </w:rPr>
  </w:style>
  <w:style w:type="paragraph" w:styleId="11">
    <w:name w:val="Balloon Text"/>
    <w:basedOn w:val="1"/>
    <w:link w:val="34"/>
    <w:semiHidden/>
    <w:unhideWhenUsed/>
    <w:qFormat/>
    <w:uiPriority w:val="99"/>
    <w:pPr>
      <w:spacing w:before="0" w:after="0"/>
    </w:pPr>
    <w:rPr>
      <w:sz w:val="18"/>
      <w:szCs w:val="18"/>
    </w:rPr>
  </w:style>
  <w:style w:type="paragraph" w:styleId="12">
    <w:name w:val="footer"/>
    <w:basedOn w:val="1"/>
    <w:link w:val="21"/>
    <w:unhideWhenUsed/>
    <w:qFormat/>
    <w:uiPriority w:val="99"/>
    <w:pPr>
      <w:tabs>
        <w:tab w:val="center" w:pos="4153"/>
        <w:tab w:val="right" w:pos="8306"/>
      </w:tabs>
      <w:snapToGrid w:val="0"/>
      <w:spacing w:before="0" w:beforeAutospacing="0" w:after="0" w:afterAutospacing="0"/>
      <w:ind w:left="69" w:leftChars="0"/>
      <w:jc w:val="center"/>
    </w:pPr>
    <w:rPr>
      <w:rFonts w:asciiTheme="minorHAnsi" w:hAnsiTheme="minorHAnsi" w:eastAsiaTheme="minorEastAsia" w:cstheme="minorBidi"/>
      <w:sz w:val="18"/>
      <w:szCs w:val="18"/>
    </w:rPr>
  </w:style>
  <w:style w:type="paragraph" w:styleId="13">
    <w:name w:val="header"/>
    <w:basedOn w:val="1"/>
    <w:link w:val="20"/>
    <w:unhideWhenUsed/>
    <w:qFormat/>
    <w:uiPriority w:val="0"/>
    <w:pPr>
      <w:pBdr>
        <w:bottom w:val="single" w:color="auto" w:sz="6" w:space="1"/>
      </w:pBdr>
      <w:tabs>
        <w:tab w:val="center" w:pos="4153"/>
        <w:tab w:val="right" w:pos="8306"/>
      </w:tabs>
      <w:snapToGrid w:val="0"/>
      <w:spacing w:before="0" w:beforeAutospacing="0" w:after="0" w:afterAutospacing="0"/>
      <w:ind w:left="0" w:leftChars="0"/>
      <w:jc w:val="center"/>
    </w:pPr>
    <w:rPr>
      <w:rFonts w:asciiTheme="minorHAnsi" w:hAnsiTheme="minorHAnsi" w:eastAsiaTheme="minorEastAsia" w:cstheme="minorBidi"/>
      <w:sz w:val="18"/>
      <w:szCs w:val="18"/>
    </w:rPr>
  </w:style>
  <w:style w:type="paragraph" w:styleId="14">
    <w:name w:val="annotation subject"/>
    <w:basedOn w:val="8"/>
    <w:next w:val="8"/>
    <w:link w:val="39"/>
    <w:semiHidden/>
    <w:unhideWhenUsed/>
    <w:qFormat/>
    <w:uiPriority w:val="99"/>
    <w:rPr>
      <w:b/>
      <w:bCs/>
    </w:r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semiHidden/>
    <w:unhideWhenUsed/>
    <w:qFormat/>
    <w:uiPriority w:val="99"/>
    <w:rPr>
      <w:sz w:val="21"/>
      <w:szCs w:val="21"/>
    </w:rPr>
  </w:style>
  <w:style w:type="character" w:customStyle="1" w:styleId="20">
    <w:name w:val="页眉 字符"/>
    <w:basedOn w:val="16"/>
    <w:link w:val="13"/>
    <w:semiHidden/>
    <w:qFormat/>
    <w:uiPriority w:val="99"/>
    <w:rPr>
      <w:sz w:val="18"/>
      <w:szCs w:val="18"/>
    </w:rPr>
  </w:style>
  <w:style w:type="character" w:customStyle="1" w:styleId="21">
    <w:name w:val="页脚 字符"/>
    <w:basedOn w:val="16"/>
    <w:link w:val="12"/>
    <w:qFormat/>
    <w:uiPriority w:val="99"/>
    <w:rPr>
      <w:sz w:val="18"/>
      <w:szCs w:val="18"/>
    </w:rPr>
  </w:style>
  <w:style w:type="character" w:customStyle="1" w:styleId="22">
    <w:name w:val="标题 1 字符"/>
    <w:basedOn w:val="16"/>
    <w:link w:val="5"/>
    <w:qFormat/>
    <w:uiPriority w:val="0"/>
    <w:rPr>
      <w:rFonts w:ascii="Calibri" w:hAnsi="Calibri" w:eastAsia="宋体" w:cs="Times New Roman"/>
      <w:b/>
      <w:bCs/>
      <w:kern w:val="44"/>
      <w:sz w:val="44"/>
      <w:szCs w:val="44"/>
    </w:rPr>
  </w:style>
  <w:style w:type="character" w:customStyle="1" w:styleId="23">
    <w:name w:val="标题 2 字符"/>
    <w:basedOn w:val="16"/>
    <w:link w:val="6"/>
    <w:qFormat/>
    <w:uiPriority w:val="0"/>
    <w:rPr>
      <w:rFonts w:ascii="楷体_GB2312" w:hAnsi="Calibri" w:eastAsia="楷体_GB2312" w:cs="Times New Roman"/>
      <w:b/>
      <w:sz w:val="44"/>
      <w:szCs w:val="20"/>
    </w:rPr>
  </w:style>
  <w:style w:type="character" w:customStyle="1" w:styleId="24">
    <w:name w:val="纯文本 字符"/>
    <w:basedOn w:val="16"/>
    <w:link w:val="9"/>
    <w:qFormat/>
    <w:uiPriority w:val="0"/>
    <w:rPr>
      <w:rFonts w:ascii="宋体" w:hAnsi="Courier New" w:eastAsia="宋体" w:cs="Times New Roman"/>
      <w:szCs w:val="21"/>
    </w:rPr>
  </w:style>
  <w:style w:type="character" w:customStyle="1" w:styleId="25">
    <w:name w:val="正文文本缩进 2 字符"/>
    <w:basedOn w:val="16"/>
    <w:link w:val="10"/>
    <w:qFormat/>
    <w:uiPriority w:val="0"/>
    <w:rPr>
      <w:rFonts w:ascii="仿宋_GB2312" w:hAnsi="华文中宋" w:eastAsia="仿宋_GB2312" w:cs="Times New Roman"/>
      <w:b/>
      <w:bCs/>
      <w:sz w:val="24"/>
      <w:szCs w:val="20"/>
    </w:rPr>
  </w:style>
  <w:style w:type="character" w:customStyle="1" w:styleId="26">
    <w:name w:val="正文文本 字符"/>
    <w:basedOn w:val="16"/>
    <w:link w:val="4"/>
    <w:qFormat/>
    <w:uiPriority w:val="0"/>
    <w:rPr>
      <w:rFonts w:ascii="幼圆" w:hAnsi="新宋体" w:eastAsia="幼圆" w:cs="Times New Roman"/>
      <w:b/>
      <w:bCs/>
      <w:sz w:val="84"/>
      <w:szCs w:val="20"/>
    </w:rPr>
  </w:style>
  <w:style w:type="character" w:customStyle="1" w:styleId="27">
    <w:name w:val="正文缩进 字符"/>
    <w:link w:val="7"/>
    <w:qFormat/>
    <w:uiPriority w:val="0"/>
    <w:rPr>
      <w:rFonts w:ascii="Calibri" w:hAnsi="Calibri" w:eastAsia="宋体" w:cs="Times New Roman"/>
      <w:szCs w:val="20"/>
    </w:rPr>
  </w:style>
  <w:style w:type="character" w:customStyle="1" w:styleId="28">
    <w:name w:val="纯文本 Char1"/>
    <w:basedOn w:val="16"/>
    <w:semiHidden/>
    <w:qFormat/>
    <w:uiPriority w:val="99"/>
    <w:rPr>
      <w:rFonts w:ascii="宋体" w:hAnsi="Courier New" w:eastAsia="宋体" w:cs="Courier New"/>
      <w:szCs w:val="21"/>
    </w:rPr>
  </w:style>
  <w:style w:type="character" w:customStyle="1" w:styleId="29">
    <w:name w:val="正文文本缩进 2 Char1"/>
    <w:basedOn w:val="16"/>
    <w:semiHidden/>
    <w:qFormat/>
    <w:uiPriority w:val="99"/>
    <w:rPr>
      <w:rFonts w:ascii="Calibri" w:hAnsi="Calibri" w:eastAsia="宋体" w:cs="Times New Roman"/>
      <w:szCs w:val="24"/>
    </w:rPr>
  </w:style>
  <w:style w:type="paragraph" w:customStyle="1" w:styleId="30">
    <w:name w:val="p18"/>
    <w:basedOn w:val="1"/>
    <w:qFormat/>
    <w:uiPriority w:val="0"/>
    <w:pPr>
      <w:widowControl/>
      <w:spacing w:before="0" w:beforeAutospacing="0" w:after="0" w:afterAutospacing="0"/>
      <w:ind w:left="0" w:leftChars="0" w:firstLine="420"/>
      <w:jc w:val="both"/>
    </w:pPr>
    <w:rPr>
      <w:rFonts w:cs="宋体"/>
      <w:kern w:val="0"/>
      <w:sz w:val="20"/>
      <w:szCs w:val="20"/>
    </w:rPr>
  </w:style>
  <w:style w:type="character" w:customStyle="1" w:styleId="31">
    <w:name w:val="正文文本 Char1"/>
    <w:basedOn w:val="16"/>
    <w:semiHidden/>
    <w:qFormat/>
    <w:uiPriority w:val="99"/>
    <w:rPr>
      <w:rFonts w:ascii="Calibri" w:hAnsi="Calibri" w:eastAsia="宋体" w:cs="Times New Roman"/>
      <w:szCs w:val="24"/>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p0"/>
    <w:basedOn w:val="1"/>
    <w:qFormat/>
    <w:uiPriority w:val="0"/>
    <w:pPr>
      <w:widowControl/>
      <w:spacing w:beforeAutospacing="0" w:afterAutospacing="0"/>
      <w:ind w:left="69" w:leftChars="0"/>
    </w:pPr>
    <w:rPr>
      <w:rFonts w:cs="宋体"/>
      <w:kern w:val="0"/>
      <w:szCs w:val="21"/>
    </w:rPr>
  </w:style>
  <w:style w:type="character" w:customStyle="1" w:styleId="34">
    <w:name w:val="批注框文本 字符"/>
    <w:basedOn w:val="16"/>
    <w:link w:val="11"/>
    <w:semiHidden/>
    <w:qFormat/>
    <w:uiPriority w:val="99"/>
    <w:rPr>
      <w:rFonts w:ascii="Calibri" w:hAnsi="Calibri" w:eastAsia="宋体" w:cs="Times New Roman"/>
      <w:sz w:val="18"/>
      <w:szCs w:val="18"/>
    </w:rPr>
  </w:style>
  <w:style w:type="paragraph" w:customStyle="1" w:styleId="35">
    <w:name w:val="修订1"/>
    <w:hidden/>
    <w:semiHidden/>
    <w:qFormat/>
    <w:uiPriority w:val="99"/>
    <w:rPr>
      <w:rFonts w:ascii="Calibri" w:hAnsi="Calibri" w:eastAsia="宋体" w:cs="Times New Roman"/>
      <w:kern w:val="2"/>
      <w:sz w:val="21"/>
      <w:szCs w:val="24"/>
      <w:lang w:val="en-US" w:eastAsia="zh-CN" w:bidi="ar-SA"/>
    </w:rPr>
  </w:style>
  <w:style w:type="paragraph" w:customStyle="1" w:styleId="36">
    <w:name w:val="样式3"/>
    <w:basedOn w:val="9"/>
    <w:qFormat/>
    <w:uiPriority w:val="0"/>
    <w:pPr>
      <w:spacing w:line="0" w:lineRule="atLeast"/>
      <w:outlineLvl w:val="0"/>
    </w:pPr>
    <w:rPr>
      <w:sz w:val="28"/>
      <w:szCs w:val="20"/>
    </w:rPr>
  </w:style>
  <w:style w:type="paragraph" w:styleId="37">
    <w:name w:val="List Paragraph"/>
    <w:basedOn w:val="1"/>
    <w:qFormat/>
    <w:uiPriority w:val="34"/>
    <w:pPr>
      <w:ind w:firstLine="420" w:firstLineChars="200"/>
    </w:pPr>
  </w:style>
  <w:style w:type="character" w:customStyle="1" w:styleId="38">
    <w:name w:val="批注文字 字符"/>
    <w:basedOn w:val="16"/>
    <w:link w:val="8"/>
    <w:semiHidden/>
    <w:qFormat/>
    <w:uiPriority w:val="99"/>
    <w:rPr>
      <w:rFonts w:ascii="Calibri" w:hAnsi="Calibri" w:eastAsia="宋体" w:cs="Times New Roman"/>
      <w:szCs w:val="24"/>
    </w:rPr>
  </w:style>
  <w:style w:type="character" w:customStyle="1" w:styleId="39">
    <w:name w:val="批注主题 字符"/>
    <w:basedOn w:val="38"/>
    <w:link w:val="14"/>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A1C4-5662-4253-8987-04566A73B6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4889</Words>
  <Characters>5226</Characters>
  <Lines>38</Lines>
  <Paragraphs>10</Paragraphs>
  <TotalTime>38</TotalTime>
  <ScaleCrop>false</ScaleCrop>
  <LinksUpToDate>false</LinksUpToDate>
  <CharactersWithSpaces>5243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2025-09-09T03:26:00Z</dcterms:created>
  <dc:creator>熊丽丽</dc:creator>
  <cp:lastModifiedBy>张玲</cp:lastModifiedBy>
  <cp:lastPrinted>2019-06-24T05:56:00Z</cp:lastPrinted>
  <dcterms:modified xsi:type="dcterms:W3CDTF">2025-09-12T01:34:05Z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eyJoZGlkIjoiNDlhOTM5MTE4ZWM0NTM1Njg0NjZkZTRkODVkODI0NWQiLCJ1c2VySWQiOiI1MDM2ODgxMTAifQ==</vt:lpwstr>
  </property>
  <property fmtid="{D5CDD505-2E9C-101B-9397-08002B2CF9AE}" pid="3" name="KSOProductBuildVer">
    <vt:lpwstr>2052-12.1.0.22529</vt:lpwstr>
  </property>
  <property fmtid="{D5CDD505-2E9C-101B-9397-08002B2CF9AE}" pid="4" name="ICV">
    <vt:lpwstr>6B19E7D7D82D41AC80BA57CC8C992724_13</vt:lpwstr>
  </property>
</Properties>
</file>